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VW-ECR-2022-002 ADAS-V4D</w:t>
      </w:r>
    </w:p>
    <w:p/>
    <w:p>
      <w:pPr>
        <w:pStyle w:val="Heading3"/>
      </w:pPr>
      <w:r>
        <w:t>1. Kopfdaten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ECR-Nr. (VW)</w:t>
            </w:r>
          </w:p>
        </w:tc>
        <w:tc>
          <w:tcPr>
            <w:tcW w:type="dxa" w:w="4320"/>
          </w:tcPr>
          <w:p>
            <w:r>
              <w:t>VW-ECR-2022-002</w:t>
            </w:r>
          </w:p>
        </w:tc>
      </w:tr>
      <w:tr>
        <w:tc>
          <w:tcPr>
            <w:tcW w:type="dxa" w:w="4320"/>
          </w:tcPr>
          <w:p>
            <w:r>
              <w:t>ECR-Nr. (REA intern)</w:t>
            </w:r>
          </w:p>
        </w:tc>
        <w:tc>
          <w:tcPr>
            <w:tcW w:type="dxa" w:w="4320"/>
          </w:tcPr>
          <w:p>
            <w:r>
              <w:t>REA-ECR-2022-002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VW-7N0907115-ADAS-V4D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RAE-ADAS-V4D-A02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VW MEB+ / ID.7 / Audi Q6 e-tron</w:t>
            </w:r>
          </w:p>
        </w:tc>
      </w:tr>
      <w:tr>
        <w:tc>
          <w:tcPr>
            <w:tcW w:type="dxa" w:w="4320"/>
          </w:tcPr>
          <w:p>
            <w:r>
              <w:t>Aenderungsgrund</w:t>
            </w:r>
          </w:p>
        </w:tc>
        <w:tc>
          <w:tcPr>
            <w:tcW w:type="dxa" w:w="4320"/>
          </w:tcPr>
          <w:p>
            <w:r>
              <w:t>Software-Update ASIL B (Radar-Calibration) v1.3 → v1.4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September 2022</w:t>
            </w:r>
          </w:p>
        </w:tc>
      </w:tr>
      <w:tr>
        <w:tc>
          <w:tcPr>
            <w:tcW w:type="dxa" w:w="4320"/>
          </w:tcPr>
          <w:p>
            <w:r>
              <w:t>Wirksamkeitsdatum (SOP)</w:t>
            </w:r>
          </w:p>
        </w:tc>
        <w:tc>
          <w:tcPr>
            <w:tcW w:type="dxa" w:w="4320"/>
          </w:tcPr>
          <w:p>
            <w:r>
              <w:t>02. Januar 2023</w:t>
            </w:r>
          </w:p>
        </w:tc>
      </w:tr>
      <w:tr>
        <w:tc>
          <w:tcPr>
            <w:tcW w:type="dxa" w:w="4320"/>
          </w:tcPr>
          <w:p>
            <w:r>
              <w:t>Re-PPAP erforderlich</w:t>
            </w:r>
          </w:p>
        </w:tc>
        <w:tc>
          <w:tcPr>
            <w:tcW w:type="dxa" w:w="4320"/>
          </w:tcPr>
          <w:p>
            <w:r>
              <w:t>Ja (Level 3, Software-only Sample)</w:t>
            </w:r>
          </w:p>
        </w:tc>
      </w:tr>
      <w:tr>
        <w:tc>
          <w:tcPr>
            <w:tcW w:type="dxa" w:w="4320"/>
          </w:tcPr>
          <w:p>
            <w:r>
              <w:t>FuSi-Manager</w:t>
            </w:r>
          </w:p>
        </w:tc>
        <w:tc>
          <w:tcPr>
            <w:tcW w:type="dxa" w:w="4320"/>
          </w:tcPr>
          <w:p>
            <w:r>
              <w:t>Dr. Markus Hauser (RSG)</w:t>
            </w:r>
          </w:p>
        </w:tc>
      </w:tr>
      <w:tr>
        <w:tc>
          <w:tcPr>
            <w:tcW w:type="dxa" w:w="4320"/>
          </w:tcPr>
          <w:p>
            <w:r>
              <w:t>VW-SQE</w:t>
            </w:r>
          </w:p>
        </w:tc>
        <w:tc>
          <w:tcPr>
            <w:tcW w:type="dxa" w:w="4320"/>
          </w:tcPr>
          <w:p>
            <w:r>
              <w:t>Dr. M. Kahler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Anpassung des Radar-Fusion-Algorithmus zur Verbesserung der Range-Estimation bei Nebelbedingungen (FOG-Use-Case) und unter starkem Regen (Heavy-Rain-Use-Case, &gt; 50 mm/h). Aenderung der Software-Version von v1.3 auf v1.4 (Branch release/v1.4.0, Commit-ID a47b9c2). Keine Hardware-Aenderung; Bauteilliste und Sachnummer-Stammdaten bleiben unveraendert. Re-Verifikation gemaess ISO 26262:2018 (ASIL B) durch FuSi-Manager Dr. Markus Hauser (RSG); Re-Penetrationstest gem. ISO/SAE 21434 durch externes Lab. Re-PPAP nach AIAG 4th Ed. mit Schwerpunkt Software-Sample, Regressionstest-Bericht (7 200 Testfaelle, Coverage 96,4 %) und 30-Tage-Pilotlauf in VW-Werk Wolfsburg (200 Vorserienfahrzeuge).</w:t>
      </w:r>
    </w:p>
    <w:p>
      <w:pPr>
        <w:pStyle w:val="Heading3"/>
      </w:pPr>
      <w:r>
        <w:t>3. Auswirkungen / 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Bereich</w:t>
            </w:r>
          </w:p>
        </w:tc>
        <w:tc>
          <w:tcPr>
            <w:tcW w:type="dxa" w:w="2160"/>
          </w:tcPr>
          <w:p>
            <w:r>
              <w:t>Auswirkung</w:t>
            </w:r>
          </w:p>
        </w:tc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Stueckkosten</w:t>
            </w:r>
          </w:p>
        </w:tc>
        <w:tc>
          <w:tcPr>
            <w:tcW w:type="dxa" w:w="2160"/>
          </w:tcPr>
          <w:p>
            <w:r>
              <w:t>keine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Lieferzeiten</w:t>
            </w:r>
          </w:p>
        </w:tc>
        <w:tc>
          <w:tcPr>
            <w:tcW w:type="dxa" w:w="2160"/>
          </w:tcPr>
          <w:p>
            <w:r>
              <w:t>vorgezogene Stillstandsphase Linie 4 fuer SW-Flash (2 x 4 h, KW 51/52)</w:t>
            </w:r>
          </w:p>
        </w:tc>
        <w:tc>
          <w:tcPr>
            <w:tcW w:type="dxa" w:w="2160"/>
          </w:tcPr>
          <w:p>
            <w:r>
              <w:t>moderat</w:t>
            </w:r>
          </w:p>
        </w:tc>
        <w:tc>
          <w:tcPr>
            <w:tcW w:type="dxa" w:w="2160"/>
          </w:tcPr>
          <w:p>
            <w:r>
              <w:t>Sondertaktung Linie 2 als Backup</w:t>
            </w:r>
          </w:p>
        </w:tc>
      </w:tr>
      <w:tr>
        <w:tc>
          <w:tcPr>
            <w:tcW w:type="dxa" w:w="2160"/>
          </w:tcPr>
          <w:p>
            <w:r>
              <w:t>Re-Validierung</w:t>
            </w:r>
          </w:p>
        </w:tc>
        <w:tc>
          <w:tcPr>
            <w:tcW w:type="dxa" w:w="2160"/>
          </w:tcPr>
          <w:p>
            <w:r>
              <w:t>Regressionstest, Pen-Test, 30-Tage-Pilot</w:t>
            </w:r>
          </w:p>
        </w:tc>
        <w:tc>
          <w:tcPr>
            <w:tcW w:type="dxa" w:w="2160"/>
          </w:tcPr>
          <w:p>
            <w:r>
              <w:t>moderat</w:t>
            </w:r>
          </w:p>
        </w:tc>
        <w:tc>
          <w:tcPr>
            <w:tcW w:type="dxa" w:w="2160"/>
          </w:tcPr>
          <w:p>
            <w:r>
              <w:t>Pruefslot DEKRA/BSI reserviert</w:t>
            </w:r>
          </w:p>
        </w:tc>
      </w:tr>
      <w:tr>
        <w:tc>
          <w:tcPr>
            <w:tcW w:type="dxa" w:w="2160"/>
          </w:tcPr>
          <w:p>
            <w:r>
              <w:t>OEM-Programmplan</w:t>
            </w:r>
          </w:p>
        </w:tc>
        <w:tc>
          <w:tcPr>
            <w:tcW w:type="dxa" w:w="2160"/>
          </w:tcPr>
          <w:p>
            <w:r>
              <w:t>kompatibel mit VW-Wave-Planning Wolfsburg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  <w:tc>
          <w:tcPr>
            <w:tcW w:type="dxa" w:w="2160"/>
          </w:tcPr>
          <w:p>
            <w:r>
              <w:t>VW-Programm-Manager bestaetigt</w:t>
            </w:r>
          </w:p>
        </w:tc>
      </w:tr>
      <w:tr>
        <w:tc>
          <w:tcPr>
            <w:tcW w:type="dxa" w:w="2160"/>
          </w:tcPr>
          <w:p>
            <w:r>
              <w:t>FuSi (ISO 26262)</w:t>
            </w:r>
          </w:p>
        </w:tc>
        <w:tc>
          <w:tcPr>
            <w:tcW w:type="dxa" w:w="2160"/>
          </w:tcPr>
          <w:p>
            <w:r>
              <w:t>Re-Argumentation Safety-Case Kap. 4.7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  <w:tc>
          <w:tcPr>
            <w:tcW w:type="dxa" w:w="2160"/>
          </w:tcPr>
          <w:p>
            <w:r>
              <w:t>vorbereitet durch RSG FuSi-Team</w:t>
            </w:r>
          </w:p>
        </w:tc>
      </w:tr>
      <w:tr>
        <w:tc>
          <w:tcPr>
            <w:tcW w:type="dxa" w:w="2160"/>
          </w:tcPr>
          <w:p>
            <w:r>
              <w:t>Cybersecurity</w:t>
            </w:r>
          </w:p>
        </w:tc>
        <w:tc>
          <w:tcPr>
            <w:tcW w:type="dxa" w:w="2160"/>
          </w:tcPr>
          <w:p>
            <w:r>
              <w:t>Re-Argumentation Security-Case + TARA-Update</w:t>
            </w:r>
          </w:p>
        </w:tc>
        <w:tc>
          <w:tcPr>
            <w:tcW w:type="dxa" w:w="2160"/>
          </w:tcPr>
          <w:p>
            <w:r>
              <w:t>niedrig</w:t>
            </w:r>
          </w:p>
        </w:tc>
        <w:tc>
          <w:tcPr>
            <w:tcW w:type="dxa" w:w="2160"/>
          </w:tcPr>
          <w:p>
            <w:r>
              <w:t>ISO/SAE 21434 Re-Assessment KW43</w:t>
            </w:r>
          </w:p>
        </w:tc>
      </w:tr>
    </w:tbl>
    <w:p>
      <w:pPr>
        <w:pStyle w:val="Heading3"/>
      </w:pPr>
      <w:r>
        <w:t>4. Freigabe</w:t>
      </w:r>
    </w:p>
    <w:p>
      <w:r>
        <w:t>Ort, Datum: Stuttgart, den 15. September 2022</w:t>
      </w:r>
    </w:p>
    <w:p>
      <w:r>
        <w:t>_________________________            _________________________</w:t>
        <w:br/>
        <w:t>Sabine Brand                          Dr. Markus Hauser</w:t>
        <w:br/>
        <w:t>Leitung QM Konzern                          FuSi-Manager</w:t>
        <w:br/>
        <w:t>Brennhagen Elektronik AG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