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CSR Volkswagen — Anwendungsdokumentation REA 2023</w:t>
      </w:r>
    </w:p>
    <w:p/>
    <w:p>
      <w:pPr>
        <w:pStyle w:val="Heading3"/>
      </w:pPr>
      <w:r>
        <w:t>1. Geltungsbereich</w:t>
      </w:r>
    </w:p>
    <w:p>
      <w:r>
        <w:t>Diese Dokumentation regelt die Anwendung der kundenspezifischen Anforderungen (CSR) der Volkswagen AG (Konzernnorm VW01155, Formel-Q Konkret 7. Edition, VW80808, VDA Band 6.3) im Q-System der Brennhagen Elektronik AG. Sie ist verbindlich fuer alle Lieferungen an die VW-Marken (VW Pkw, Audi, Porsche, Skoda, SEAT/Cupra, VW Nutzfahrzeuge). Die Dokumentation ist Bestandteil des konzernweiten Q-Management-Handbuchs (Kapitel 9.7, OEM-CSR) und in OneQMS als verbindliche Verfahrensanweisung VA-CSR-VW-23 abgelegt.</w:t>
      </w:r>
    </w:p>
    <w:p>
      <w:pPr>
        <w:pStyle w:val="Heading3"/>
      </w:pPr>
      <w:r>
        <w:t>2. Wesentliche Anforderungen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Anforderung</w:t>
            </w:r>
          </w:p>
        </w:tc>
        <w:tc>
          <w:tcPr>
            <w:tcW w:type="dxa" w:w="2880"/>
          </w:tcPr>
          <w:p>
            <w:r>
              <w:t>Kapitel CSR</w:t>
            </w:r>
          </w:p>
        </w:tc>
        <w:tc>
          <w:tcPr>
            <w:tcW w:type="dxa" w:w="2880"/>
          </w:tcPr>
          <w:p>
            <w:r>
              <w:t>Umsetzung REA</w:t>
            </w:r>
          </w:p>
        </w:tc>
      </w:tr>
      <w:tr>
        <w:tc>
          <w:tcPr>
            <w:tcW w:type="dxa" w:w="2880"/>
          </w:tcPr>
          <w:p>
            <w:r>
              <w:t>Formel Q Konkret 7th Ed. (Lieferantenbewertung)</w:t>
            </w:r>
          </w:p>
        </w:tc>
        <w:tc>
          <w:tcPr>
            <w:tcW w:type="dxa" w:w="2880"/>
          </w:tcPr>
          <w:p>
            <w:r>
              <w:t>gesamt</w:t>
            </w:r>
          </w:p>
        </w:tc>
        <w:tc>
          <w:tcPr>
            <w:tcW w:type="dxa" w:w="2880"/>
          </w:tcPr>
          <w:p>
            <w:r>
              <w:t>Konzern-QMS, Werks-Audits, Re-Bewertung jaehrlich</w:t>
            </w:r>
          </w:p>
        </w:tc>
      </w:tr>
      <w:tr>
        <w:tc>
          <w:tcPr>
            <w:tcW w:type="dxa" w:w="2880"/>
          </w:tcPr>
          <w:p>
            <w:r>
              <w:t>VW01155 Liefervorschrift Schweissprozess</w:t>
            </w:r>
          </w:p>
        </w:tc>
        <w:tc>
          <w:tcPr>
            <w:tcW w:type="dxa" w:w="2880"/>
          </w:tcPr>
          <w:p>
            <w:r>
              <w:t>spez.</w:t>
            </w:r>
          </w:p>
        </w:tc>
        <w:tc>
          <w:tcPr>
            <w:tcW w:type="dxa" w:w="2880"/>
          </w:tcPr>
          <w:p>
            <w:r>
              <w:t>n. a. (Elektronik, keine Schweissprozesse)</w:t>
            </w:r>
          </w:p>
        </w:tc>
      </w:tr>
      <w:tr>
        <w:tc>
          <w:tcPr>
            <w:tcW w:type="dxa" w:w="2880"/>
          </w:tcPr>
          <w:p>
            <w:r>
              <w:t>VW80101 Werkstoffe RoHS/REACH</w:t>
            </w:r>
          </w:p>
        </w:tc>
        <w:tc>
          <w:tcPr>
            <w:tcW w:type="dxa" w:w="2880"/>
          </w:tcPr>
          <w:p>
            <w:r>
              <w:t>VW80101 Teil 1-4</w:t>
            </w:r>
          </w:p>
        </w:tc>
        <w:tc>
          <w:tcPr>
            <w:tcW w:type="dxa" w:w="2880"/>
          </w:tcPr>
          <w:p>
            <w:r>
              <w:t>Datasheet-Pflicht in IMDS, Stammdatenpflege</w:t>
            </w:r>
          </w:p>
        </w:tc>
      </w:tr>
      <w:tr>
        <w:tc>
          <w:tcPr>
            <w:tcW w:type="dxa" w:w="2880"/>
          </w:tcPr>
          <w:p>
            <w:r>
              <w:t>IMDS-Reporting (International Material Data System)</w:t>
            </w:r>
          </w:p>
        </w:tc>
        <w:tc>
          <w:tcPr>
            <w:tcW w:type="dxa" w:w="2880"/>
          </w:tcPr>
          <w:p>
            <w:r>
              <w:t>VW-IMDS-Anleitung</w:t>
            </w:r>
          </w:p>
        </w:tc>
        <w:tc>
          <w:tcPr>
            <w:tcW w:type="dxa" w:w="2880"/>
          </w:tcPr>
          <w:p>
            <w:r>
              <w:t>Pflicht-Upload &lt; 14 d nach PPAP</w:t>
            </w:r>
          </w:p>
        </w:tc>
      </w:tr>
      <w:tr>
        <w:tc>
          <w:tcPr>
            <w:tcW w:type="dxa" w:w="2880"/>
          </w:tcPr>
          <w:p>
            <w:r>
              <w:t>VDA 6.3 Lieferantenaudit</w:t>
            </w:r>
          </w:p>
        </w:tc>
        <w:tc>
          <w:tcPr>
            <w:tcW w:type="dxa" w:w="2880"/>
          </w:tcPr>
          <w:p>
            <w:r>
              <w:t>VDA 6.3 P2-P7</w:t>
            </w:r>
          </w:p>
        </w:tc>
        <w:tc>
          <w:tcPr>
            <w:tcW w:type="dxa" w:w="2880"/>
          </w:tcPr>
          <w:p>
            <w:r>
              <w:t>jaehrlich bzw. risikobasiert (Risk Rating)</w:t>
            </w:r>
          </w:p>
        </w:tc>
      </w:tr>
      <w:tr>
        <w:tc>
          <w:tcPr>
            <w:tcW w:type="dxa" w:w="2880"/>
          </w:tcPr>
          <w:p>
            <w:r>
              <w:t>Eskalationsprozess (CSL-1/CSL-2)</w:t>
            </w:r>
          </w:p>
        </w:tc>
        <w:tc>
          <w:tcPr>
            <w:tcW w:type="dxa" w:w="2880"/>
          </w:tcPr>
          <w:p>
            <w:r>
              <w:t>VW-Eskalationsmatrix 2022</w:t>
            </w:r>
          </w:p>
        </w:tc>
        <w:tc>
          <w:tcPr>
            <w:tcW w:type="dxa" w:w="2880"/>
          </w:tcPr>
          <w:p>
            <w:r>
              <w:t>definiert im Konzern-QMH Kap. 8.3</w:t>
            </w:r>
          </w:p>
        </w:tc>
      </w:tr>
      <w:tr>
        <w:tc>
          <w:tcPr>
            <w:tcW w:type="dxa" w:w="2880"/>
          </w:tcPr>
          <w:p>
            <w:r>
              <w:t>Run-At-Rate (R@R)</w:t>
            </w:r>
          </w:p>
        </w:tc>
        <w:tc>
          <w:tcPr>
            <w:tcW w:type="dxa" w:w="2880"/>
          </w:tcPr>
          <w:p>
            <w:r>
              <w:t>Formel Q Anhang B</w:t>
            </w:r>
          </w:p>
        </w:tc>
        <w:tc>
          <w:tcPr>
            <w:tcW w:type="dxa" w:w="2880"/>
          </w:tcPr>
          <w:p>
            <w:r>
              <w:t>vor SOP zwingend, Re-R@R bei Aenderungen</w:t>
            </w:r>
          </w:p>
        </w:tc>
      </w:tr>
      <w:tr>
        <w:tc>
          <w:tcPr>
            <w:tcW w:type="dxa" w:w="2880"/>
          </w:tcPr>
          <w:p>
            <w:r>
              <w:t>Behaelter- und Verpackungsvorschrift</w:t>
            </w:r>
          </w:p>
        </w:tc>
        <w:tc>
          <w:tcPr>
            <w:tcW w:type="dxa" w:w="2880"/>
          </w:tcPr>
          <w:p>
            <w:r>
              <w:t>VW-VPRG</w:t>
            </w:r>
          </w:p>
        </w:tc>
        <w:tc>
          <w:tcPr>
            <w:tcW w:type="dxa" w:w="2880"/>
          </w:tcPr>
          <w:p>
            <w:r>
              <w:t>Mehrwegbehaelter REG → VW gem. VPRG-Katalog</w:t>
            </w:r>
          </w:p>
        </w:tc>
      </w:tr>
      <w:tr>
        <w:tc>
          <w:tcPr>
            <w:tcW w:type="dxa" w:w="2880"/>
          </w:tcPr>
          <w:p>
            <w:r>
              <w:t>Cybersecurity (ab MJ 2024)</w:t>
            </w:r>
          </w:p>
        </w:tc>
        <w:tc>
          <w:tcPr>
            <w:tcW w:type="dxa" w:w="2880"/>
          </w:tcPr>
          <w:p>
            <w:r>
              <w:t>VW80818-CS, ISO/SAE 21434</w:t>
            </w:r>
          </w:p>
        </w:tc>
        <w:tc>
          <w:tcPr>
            <w:tcW w:type="dxa" w:w="2880"/>
          </w:tcPr>
          <w:p>
            <w:r>
              <w:t>umgesetzt in RSG-Entwicklung</w:t>
            </w:r>
          </w:p>
        </w:tc>
      </w:tr>
    </w:tbl>
    <w:p>
      <w:pPr>
        <w:pStyle w:val="Heading3"/>
      </w:pPr>
      <w:r>
        <w:t>3. Spezifika BMS-12 (ID.7)</w:t>
      </w:r>
    </w:p>
    <w:p>
      <w:r>
        <w:t>Fuer das Programm ID.7 (BMS-12) gelten zusaetzliche Anforderungen aus VW80101-1 (Hochvolt-Komponenten ASIL D), VW80818 (Pyrotechnik-Initiatoren Schnittstelle) sowie VW80000 (Allgemeine Komponentenanforderungen). PPAP-Level 3, Run-At-Rate vor SOP zwingend. Re-PPAP bei jeder hardware-relevanten Aenderung. Die Werke REG (Endmontage), RPL (SMT) und RCZ (Stecker) sind in der konsolidierten Lieferantenfreigabe der VW gemeinsam aufgenommen; jede Aenderung des Wertschoepfungsanteils ist mit der VW Group Procurement (Wolfsburg) abzustimmen.</w:t>
      </w:r>
    </w:p>
    <w:p>
      <w:pPr>
        <w:pStyle w:val="Heading3"/>
      </w:pPr>
      <w:r>
        <w:t>4. Schulung und Kommunikation</w:t>
      </w:r>
    </w:p>
    <w:p>
      <w:r>
        <w:t>Schulung der Anforderungen erfolgt jaehrlich fuer alle Q-Mitarbeitenden (eLearning-Modul OneQMS-CSR-VW-001, Dauer 90 min, Pflicht). Die jaehrliche Ueberarbeitung erfolgt durch Sabine Brand (Konzern-Q) gemeinsam mit dem VW-Account-Manager Stefan Richter (CMO/BD). Kommunikationskanaele: SupplyOn-Portal (operative Daten), VW Group Supplier Portal (strategische Anforderungen), persoenliche QBR alle 3 Monate.</w:t>
      </w:r>
    </w:p>
    <w:p>
      <w:pPr>
        <w:pStyle w:val="Heading3"/>
      </w:pPr>
      <w:r>
        <w:t>5. Freigabe</w:t>
      </w:r>
    </w:p>
    <w:p>
      <w:r>
        <w:t>Ort, Datum: Stuttgart, den 15. Mai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