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Vorstandsvorlage Q-Konzern Q3/2023</w:t>
      </w:r>
    </w:p>
    <w:p/>
    <w:p>
      <w:pPr>
        <w:pStyle w:val="Heading3"/>
      </w:pPr>
      <w:r>
        <w:t>1. Anlass und Adressat</w:t>
      </w:r>
    </w:p>
    <w:p>
      <w:r>
        <w:t>Vorstandsvorlage der Q-Konzern fuer die Vorstandssitzung Q3/2023 der Brennhagen Elektronik AG. Berichterstatterin: Sabine Brand (Leitung QM Konzern). Adressaten: CEO Anna Mueller, CFO Laura Bauer, COO Dr. Thomas Weber, CTO Stefan Hoffmann, CMO Stefan Richter, CRO Asia Dr. Yuki Tanaka.</w:t>
      </w:r>
    </w:p>
    <w:p>
      <w:pPr>
        <w:pStyle w:val="Heading3"/>
      </w:pPr>
      <w:r>
        <w:t>2. Q-Kennzahlen Q3/2023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Konzern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16 ppm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8D-Closure-Time</w:t>
            </w:r>
          </w:p>
        </w:tc>
        <w:tc>
          <w:tcPr>
            <w:tcW w:type="dxa" w:w="2160"/>
          </w:tcPr>
          <w:p>
            <w:r>
              <w:t>&lt; 60 d</w:t>
            </w:r>
          </w:p>
        </w:tc>
        <w:tc>
          <w:tcPr>
            <w:tcW w:type="dxa" w:w="2160"/>
          </w:tcPr>
          <w:p>
            <w:r>
              <w:t>44 d (Median)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OEE Konzern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79,4 %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VDA-6.3-Lieferantenaudits</w:t>
            </w:r>
          </w:p>
        </w:tc>
        <w:tc>
          <w:tcPr>
            <w:tcW w:type="dxa" w:w="2160"/>
          </w:tcPr>
          <w:p>
            <w:r>
              <w:t>3/Quartal</w:t>
            </w:r>
          </w:p>
        </w:tc>
        <w:tc>
          <w:tcPr>
            <w:tcW w:type="dxa" w:w="2160"/>
          </w:tcPr>
          <w:p>
            <w:r>
              <w:t>4 abgeschlossen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CAPA-Closure-Quote</w:t>
            </w:r>
          </w:p>
        </w:tc>
        <w:tc>
          <w:tcPr>
            <w:tcW w:type="dxa" w:w="2160"/>
          </w:tcPr>
          <w:p>
            <w:r>
              <w:t>&gt; 90 %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  <w:tc>
          <w:tcPr>
            <w:tcW w:type="dxa" w:w="2160"/>
          </w:tcPr>
          <w:p>
            <w:r>
              <w:t>→</w:t>
            </w:r>
          </w:p>
        </w:tc>
      </w:tr>
      <w:tr>
        <w:tc>
          <w:tcPr>
            <w:tcW w:type="dxa" w:w="2160"/>
          </w:tcPr>
          <w:p>
            <w:r>
              <w:t>IATF-Surveillance-Findings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Top-Risiken und Massnahmen</w:t>
      </w:r>
    </w:p>
    <w:p>
      <w:r>
        <w:t>Top-Risiken Q3: (1) Halbleiterallokation INF/TI Q1-2/2024; (2) Inflationsdruck Lieferantenpreise PCB; (3) anstehende ASPICE-Re-Assessment RSG; (4) bevorstehende Re-Zertifizierung IATF 16949 fuer REG Heilbronn (Q1/2024). Massnahmenplan ist im Anhang A dokumentiert; Investitionsbedarf 2024: 2,8 Mio. EUR (Pruefmittel + IT).</w:t>
      </w:r>
    </w:p>
    <w:p>
      <w:pPr>
        <w:pStyle w:val="Heading3"/>
      </w:pPr>
      <w:r>
        <w:t>4. Beschlussempfehlung</w:t>
      </w:r>
    </w:p>
    <w:p>
      <w:r>
        <w:t>Der Vorstand wird gebeten, den vorgelegten Massnahmenplan zur Kenntnis zu nehmen und die Investitionssumme 2024 (2,8 Mio. EUR) im Rahmen des Budgetprozesses zu beruecksichtigen. Die Q-Konzernleitung wird quartalsweise berichten.</w:t>
      </w:r>
    </w:p>
    <w:p>
      <w:pPr>
        <w:pStyle w:val="Heading3"/>
      </w:pPr>
      <w:r>
        <w:t>5. Unterschriften</w:t>
      </w:r>
    </w:p>
    <w:p>
      <w:r>
        <w:t>Ort, Datum: Stuttgart, den 15. Oktober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