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Kalibrierprotokoll Drehmomentschluessel — Brennhagen Elektronik GmbH</w:t>
      </w:r>
    </w:p>
    <w:p/>
    <w:p>
      <w:pPr>
        <w:pStyle w:val="Heading3"/>
      </w:pPr>
      <w:r>
        <w:t>1. Pruefmittel-Stammdaten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Pruefmittel-Nr.</w:t>
            </w:r>
          </w:p>
        </w:tc>
        <w:tc>
          <w:tcPr>
            <w:tcW w:type="dxa" w:w="4320"/>
          </w:tcPr>
          <w:p>
            <w:r>
              <w:t>PM-REG-DRE-014</w:t>
            </w:r>
          </w:p>
        </w:tc>
      </w:tr>
      <w:tr>
        <w:tc>
          <w:tcPr>
            <w:tcW w:type="dxa" w:w="4320"/>
          </w:tcPr>
          <w:p>
            <w:r>
              <w:t>Bezeichnung</w:t>
            </w:r>
          </w:p>
        </w:tc>
        <w:tc>
          <w:tcPr>
            <w:tcW w:type="dxa" w:w="4320"/>
          </w:tcPr>
          <w:p>
            <w:r>
              <w:t>Drehmomentschluessel Stahlwille MANOSKOP 730N/40</w:t>
            </w:r>
          </w:p>
        </w:tc>
      </w:tr>
      <w:tr>
        <w:tc>
          <w:tcPr>
            <w:tcW w:type="dxa" w:w="4320"/>
          </w:tcPr>
          <w:p>
            <w:r>
              <w:t>Hersteller / Typ</w:t>
            </w:r>
          </w:p>
        </w:tc>
        <w:tc>
          <w:tcPr>
            <w:tcW w:type="dxa" w:w="4320"/>
          </w:tcPr>
          <w:p>
            <w:r>
              <w:t>MANOSKOP</w:t>
            </w:r>
          </w:p>
        </w:tc>
      </w:tr>
      <w:tr>
        <w:tc>
          <w:tcPr>
            <w:tcW w:type="dxa" w:w="4320"/>
          </w:tcPr>
          <w:p>
            <w:r>
              <w:t>Standort</w:t>
            </w:r>
          </w:p>
        </w:tc>
        <w:tc>
          <w:tcPr>
            <w:tcW w:type="dxa" w:w="4320"/>
          </w:tcPr>
          <w:p>
            <w:r>
              <w:t>Brennhagen Elektronik GmbH, Heilbronn (DE), Pruefraum 3</w:t>
            </w:r>
          </w:p>
        </w:tc>
      </w:tr>
      <w:tr>
        <w:tc>
          <w:tcPr>
            <w:tcW w:type="dxa" w:w="4320"/>
          </w:tcPr>
          <w:p>
            <w:r>
              <w:t>Verwendung</w:t>
            </w:r>
          </w:p>
        </w:tc>
        <w:tc>
          <w:tcPr>
            <w:tcW w:type="dxa" w:w="4320"/>
          </w:tcPr>
          <w:p>
            <w:r>
              <w:t>Serien-Pruefmittel, kalibrierpflichtig</w:t>
            </w:r>
          </w:p>
        </w:tc>
      </w:tr>
      <w:tr>
        <w:tc>
          <w:tcPr>
            <w:tcW w:type="dxa" w:w="4320"/>
          </w:tcPr>
          <w:p>
            <w:r>
              <w:t>Messbereich</w:t>
            </w:r>
          </w:p>
        </w:tc>
        <w:tc>
          <w:tcPr>
            <w:tcW w:type="dxa" w:w="4320"/>
          </w:tcPr>
          <w:p>
            <w:r>
              <w:t>0,8 – 40 Nm</w:t>
            </w:r>
          </w:p>
        </w:tc>
      </w:tr>
      <w:tr>
        <w:tc>
          <w:tcPr>
            <w:tcW w:type="dxa" w:w="4320"/>
          </w:tcPr>
          <w:p>
            <w:r>
              <w:t>Messgenauigkeit (Hersteller)</w:t>
            </w:r>
          </w:p>
        </w:tc>
        <w:tc>
          <w:tcPr>
            <w:tcW w:type="dxa" w:w="4320"/>
          </w:tcPr>
          <w:p>
            <w:r>
              <w:t>+/- 2 % v. MW</w:t>
            </w:r>
          </w:p>
        </w:tc>
      </w:tr>
      <w:tr>
        <w:tc>
          <w:tcPr>
            <w:tcW w:type="dxa" w:w="4320"/>
          </w:tcPr>
          <w:p>
            <w:r>
              <w:t>Akkreditiertes Labor</w:t>
            </w:r>
          </w:p>
        </w:tc>
        <w:tc>
          <w:tcPr>
            <w:tcW w:type="dxa" w:w="4320"/>
          </w:tcPr>
          <w:p>
            <w:r>
              <w:t>DKD-K-19801</w:t>
            </w:r>
          </w:p>
        </w:tc>
      </w:tr>
    </w:tbl>
    <w:p>
      <w:pPr>
        <w:pStyle w:val="Heading3"/>
      </w:pPr>
      <w:r>
        <w:t>2. Kalibrierungsdetails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Kalibrierdatum</w:t>
            </w:r>
          </w:p>
        </w:tc>
        <w:tc>
          <w:tcPr>
            <w:tcW w:type="dxa" w:w="4320"/>
          </w:tcPr>
          <w:p>
            <w:r>
              <w:t>2023-09-15</w:t>
            </w:r>
          </w:p>
        </w:tc>
      </w:tr>
      <w:tr>
        <w:tc>
          <w:tcPr>
            <w:tcW w:type="dxa" w:w="4320"/>
          </w:tcPr>
          <w:p>
            <w:r>
              <w:t>Naechste Kalibrierung</w:t>
            </w:r>
          </w:p>
        </w:tc>
        <w:tc>
          <w:tcPr>
            <w:tcW w:type="dxa" w:w="4320"/>
          </w:tcPr>
          <w:p>
            <w:r>
              <w:t>2024-09-15</w:t>
            </w:r>
          </w:p>
        </w:tc>
      </w:tr>
      <w:tr>
        <w:tc>
          <w:tcPr>
            <w:tcW w:type="dxa" w:w="4320"/>
          </w:tcPr>
          <w:p>
            <w:r>
              <w:t>Kalibrierintervall</w:t>
            </w:r>
          </w:p>
        </w:tc>
        <w:tc>
          <w:tcPr>
            <w:tcW w:type="dxa" w:w="4320"/>
          </w:tcPr>
          <w:p>
            <w:r>
              <w:t>12 Monate</w:t>
            </w:r>
          </w:p>
        </w:tc>
      </w:tr>
      <w:tr>
        <w:tc>
          <w:tcPr>
            <w:tcW w:type="dxa" w:w="4320"/>
          </w:tcPr>
          <w:p>
            <w:r>
              <w:t>Pruefer (extern)</w:t>
            </w:r>
          </w:p>
        </w:tc>
        <w:tc>
          <w:tcPr>
            <w:tcW w:type="dxa" w:w="4320"/>
          </w:tcPr>
          <w:p>
            <w:r>
              <w:t>Dipl.-Ing. R. Glaeser, DAkkS-zertifiziert</w:t>
            </w:r>
          </w:p>
        </w:tc>
      </w:tr>
      <w:tr>
        <w:tc>
          <w:tcPr>
            <w:tcW w:type="dxa" w:w="4320"/>
          </w:tcPr>
          <w:p>
            <w:r>
              <w:t>Pruefer (intern Anlieferung)</w:t>
            </w:r>
          </w:p>
        </w:tc>
        <w:tc>
          <w:tcPr>
            <w:tcW w:type="dxa" w:w="4320"/>
          </w:tcPr>
          <w:p>
            <w:r>
              <w:t>Sabine Brand</w:t>
            </w:r>
          </w:p>
        </w:tc>
      </w:tr>
      <w:tr>
        <w:tc>
          <w:tcPr>
            <w:tcW w:type="dxa" w:w="4320"/>
          </w:tcPr>
          <w:p>
            <w:r>
              <w:t>Umgebungsbedingungen</w:t>
            </w:r>
          </w:p>
        </w:tc>
        <w:tc>
          <w:tcPr>
            <w:tcW w:type="dxa" w:w="4320"/>
          </w:tcPr>
          <w:p>
            <w:r>
              <w:t>23 +/- 1 °C, 45 +/- 5 %rF</w:t>
            </w:r>
          </w:p>
        </w:tc>
      </w:tr>
      <w:tr>
        <w:tc>
          <w:tcPr>
            <w:tcW w:type="dxa" w:w="4320"/>
          </w:tcPr>
          <w:p>
            <w:r>
              <w:t>Verwendete Normale</w:t>
            </w:r>
          </w:p>
        </w:tc>
        <w:tc>
          <w:tcPr>
            <w:tcW w:type="dxa" w:w="4320"/>
          </w:tcPr>
          <w:p>
            <w:r>
              <w:t>Rueckfuehrbar auf PTB, Zert. PTB-3.4-2022-117</w:t>
            </w:r>
          </w:p>
        </w:tc>
      </w:tr>
      <w:tr>
        <w:tc>
          <w:tcPr>
            <w:tcW w:type="dxa" w:w="4320"/>
          </w:tcPr>
          <w:p>
            <w:r>
              <w:t>Pruefverfahren</w:t>
            </w:r>
          </w:p>
        </w:tc>
        <w:tc>
          <w:tcPr>
            <w:tcW w:type="dxa" w:w="4320"/>
          </w:tcPr>
          <w:p>
            <w:r>
              <w:t>DAkkS-DKD-R 3-3 bzw. herstellerspezifisch</w:t>
            </w:r>
          </w:p>
        </w:tc>
      </w:tr>
    </w:tbl>
    <w:p>
      <w:pPr>
        <w:pStyle w:val="Heading3"/>
      </w:pPr>
      <w:r>
        <w:t>3. Messergebnisse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Pruefpunkt</w:t>
            </w:r>
          </w:p>
        </w:tc>
        <w:tc>
          <w:tcPr>
            <w:tcW w:type="dxa" w:w="1440"/>
          </w:tcPr>
          <w:p>
            <w:r>
              <w:t>Sollwert</w:t>
            </w:r>
          </w:p>
        </w:tc>
        <w:tc>
          <w:tcPr>
            <w:tcW w:type="dxa" w:w="1440"/>
          </w:tcPr>
          <w:p>
            <w:r>
              <w:t>Istwert</w:t>
            </w:r>
          </w:p>
        </w:tc>
        <w:tc>
          <w:tcPr>
            <w:tcW w:type="dxa" w:w="1440"/>
          </w:tcPr>
          <w:p>
            <w:r>
              <w:t>Abweichung</w:t>
            </w:r>
          </w:p>
        </w:tc>
        <w:tc>
          <w:tcPr>
            <w:tcW w:type="dxa" w:w="1440"/>
          </w:tcPr>
          <w:p>
            <w:r>
              <w:t>Toleranz</w:t>
            </w:r>
          </w:p>
        </w:tc>
        <w:tc>
          <w:tcPr>
            <w:tcW w:type="dxa" w:w="1440"/>
          </w:tcPr>
          <w:p>
            <w:r>
              <w:t>Bewertung</w:t>
            </w:r>
          </w:p>
        </w:tc>
      </w:tr>
      <w:tr>
        <w:tc>
          <w:tcPr>
            <w:tcW w:type="dxa" w:w="1440"/>
          </w:tcPr>
          <w:p>
            <w:r>
              <w:t>Punkt 1 (Untergrenze)</w:t>
            </w:r>
          </w:p>
        </w:tc>
        <w:tc>
          <w:tcPr>
            <w:tcW w:type="dxa" w:w="1440"/>
          </w:tcPr>
          <w:p>
            <w:r>
              <w:t>10 % Range</w:t>
            </w:r>
          </w:p>
        </w:tc>
        <w:tc>
          <w:tcPr>
            <w:tcW w:type="dxa" w:w="1440"/>
          </w:tcPr>
          <w:p>
            <w:r>
              <w:t>10,02 %</w:t>
            </w:r>
          </w:p>
        </w:tc>
        <w:tc>
          <w:tcPr>
            <w:tcW w:type="dxa" w:w="1440"/>
          </w:tcPr>
          <w:p>
            <w:r>
              <w:t>+0,02 %</w:t>
            </w:r>
          </w:p>
        </w:tc>
        <w:tc>
          <w:tcPr>
            <w:tcW w:type="dxa" w:w="1440"/>
          </w:tcPr>
          <w:p>
            <w:r>
              <w:t>+/- 2 % v. MW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2</w:t>
            </w:r>
          </w:p>
        </w:tc>
        <w:tc>
          <w:tcPr>
            <w:tcW w:type="dxa" w:w="1440"/>
          </w:tcPr>
          <w:p>
            <w:r>
              <w:t>25 % Range</w:t>
            </w:r>
          </w:p>
        </w:tc>
        <w:tc>
          <w:tcPr>
            <w:tcW w:type="dxa" w:w="1440"/>
          </w:tcPr>
          <w:p>
            <w:r>
              <w:t>24,99 %</w:t>
            </w:r>
          </w:p>
        </w:tc>
        <w:tc>
          <w:tcPr>
            <w:tcW w:type="dxa" w:w="1440"/>
          </w:tcPr>
          <w:p>
            <w:r>
              <w:t>-0,01 %</w:t>
            </w:r>
          </w:p>
        </w:tc>
        <w:tc>
          <w:tcPr>
            <w:tcW w:type="dxa" w:w="1440"/>
          </w:tcPr>
          <w:p>
            <w:r>
              <w:t>+/- 2 % v. MW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3</w:t>
            </w:r>
          </w:p>
        </w:tc>
        <w:tc>
          <w:tcPr>
            <w:tcW w:type="dxa" w:w="1440"/>
          </w:tcPr>
          <w:p>
            <w:r>
              <w:t>50 % Range</w:t>
            </w:r>
          </w:p>
        </w:tc>
        <w:tc>
          <w:tcPr>
            <w:tcW w:type="dxa" w:w="1440"/>
          </w:tcPr>
          <w:p>
            <w:r>
              <w:t>50,01 %</w:t>
            </w:r>
          </w:p>
        </w:tc>
        <w:tc>
          <w:tcPr>
            <w:tcW w:type="dxa" w:w="1440"/>
          </w:tcPr>
          <w:p>
            <w:r>
              <w:t>+0,01 %</w:t>
            </w:r>
          </w:p>
        </w:tc>
        <w:tc>
          <w:tcPr>
            <w:tcW w:type="dxa" w:w="1440"/>
          </w:tcPr>
          <w:p>
            <w:r>
              <w:t>+/- 2 % v. MW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4</w:t>
            </w:r>
          </w:p>
        </w:tc>
        <w:tc>
          <w:tcPr>
            <w:tcW w:type="dxa" w:w="1440"/>
          </w:tcPr>
          <w:p>
            <w:r>
              <w:t>75 % Range</w:t>
            </w:r>
          </w:p>
        </w:tc>
        <w:tc>
          <w:tcPr>
            <w:tcW w:type="dxa" w:w="1440"/>
          </w:tcPr>
          <w:p>
            <w:r>
              <w:t>74,97 %</w:t>
            </w:r>
          </w:p>
        </w:tc>
        <w:tc>
          <w:tcPr>
            <w:tcW w:type="dxa" w:w="1440"/>
          </w:tcPr>
          <w:p>
            <w:r>
              <w:t>-0,03 %</w:t>
            </w:r>
          </w:p>
        </w:tc>
        <w:tc>
          <w:tcPr>
            <w:tcW w:type="dxa" w:w="1440"/>
          </w:tcPr>
          <w:p>
            <w:r>
              <w:t>+/- 2 % v. MW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5 (Obergrenze)</w:t>
            </w:r>
          </w:p>
        </w:tc>
        <w:tc>
          <w:tcPr>
            <w:tcW w:type="dxa" w:w="1440"/>
          </w:tcPr>
          <w:p>
            <w:r>
              <w:t>100 % Range</w:t>
            </w:r>
          </w:p>
        </w:tc>
        <w:tc>
          <w:tcPr>
            <w:tcW w:type="dxa" w:w="1440"/>
          </w:tcPr>
          <w:p>
            <w:r>
              <w:t>99,98 %</w:t>
            </w:r>
          </w:p>
        </w:tc>
        <w:tc>
          <w:tcPr>
            <w:tcW w:type="dxa" w:w="1440"/>
          </w:tcPr>
          <w:p>
            <w:r>
              <w:t>-0,02 %</w:t>
            </w:r>
          </w:p>
        </w:tc>
        <w:tc>
          <w:tcPr>
            <w:tcW w:type="dxa" w:w="1440"/>
          </w:tcPr>
          <w:p>
            <w:r>
              <w:t>+/- 2 % v. MW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</w:tbl>
    <w:p>
      <w:pPr>
        <w:pStyle w:val="Heading3"/>
      </w:pPr>
      <w:r>
        <w:t>4. Bewertung und Freigabe</w:t>
      </w:r>
    </w:p>
    <w:p>
      <w:r>
        <w:t>Das Pruefmittel erfuellt die spezifizierten Messunsicherheits-Anforderungen und ist innerhalb der zulaessigen Toleranzen. Die erweiterte Messunsicherheit U (k=2) liegt unterhalb von 1/4 der engsten Pruefmerkmalstoleranz, womit das Pruefmittel gemaess VDA 5 / GUM fuer Serienpruefungen freigegeben ist. Kalibrieretikett wurde am 15.09.2023 durch das akkreditierte Labor angebracht. Eintrag in Konzern-PM-Datenbank (PRONTO Q-DAS) erfolgt automatisiert.</w:t>
      </w:r>
    </w:p>
    <w:p>
      <w:pPr>
        <w:pStyle w:val="Heading3"/>
      </w:pPr>
      <w:r>
        <w:t>5. Eskalation und Aufbewahrung</w:t>
      </w:r>
    </w:p>
    <w:p>
      <w:r>
        <w:t>Bei Toleranzueberschreitung waere eine Rueckverfolgung aller seit der letzten Kalibrierung damit gemessenen Pruefumfaenge auf Konformitaet erforderlich (gemaess IATF 7.1.5.2.1). Die Kalibrierscheine werden zusammen mit den Pruefmittel-Stammdaten fuer mindestens 15 Jahre archiviert (Cloud-Backup S3, EU-Region, RBAC).</w:t>
      </w:r>
    </w:p>
    <w:p>
      <w:pPr>
        <w:pStyle w:val="Heading3"/>
      </w:pPr>
      <w:r>
        <w:t>6. Unterschriften</w:t>
      </w:r>
    </w:p>
    <w:p>
      <w:r>
        <w:t>Ort, Datum: Heilbronn, den 15. September 2023</w:t>
      </w:r>
    </w:p>
    <w:p>
      <w:r>
        <w:t>_________________________            _________________________</w:t>
        <w:br/>
        <w:t>Sabine Brand                          Andreas Maier</w:t>
        <w:br/>
        <w:t>Q-Beauftragte / Pruefmittelueberwachung                          Werkleitung</w:t>
        <w:br/>
        <w:t>Brennhagen Elektronik GmbH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