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Prozessaudit-Beobachtung PA-REG-2023-007</w:t>
      </w:r>
    </w:p>
    <w:p/>
    <w:p>
      <w:pPr>
        <w:pStyle w:val="Heading3"/>
      </w:pPr>
      <w:r>
        <w:t>1. Auditkopf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Beobachtungs-Nr.</w:t>
            </w:r>
          </w:p>
        </w:tc>
        <w:tc>
          <w:tcPr>
            <w:tcW w:type="dxa" w:w="4320"/>
          </w:tcPr>
          <w:p>
            <w:r>
              <w:t>PA-REG-2023-007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2023-09-19</w:t>
            </w:r>
          </w:p>
        </w:tc>
      </w:tr>
      <w:tr>
        <w:tc>
          <w:tcPr>
            <w:tcW w:type="dxa" w:w="4320"/>
          </w:tcPr>
          <w:p>
            <w:r>
              <w:t>Auditierter Prozess</w:t>
            </w:r>
          </w:p>
        </w:tc>
        <w:tc>
          <w:tcPr>
            <w:tcW w:type="dxa" w:w="4320"/>
          </w:tcPr>
          <w:p>
            <w:r>
              <w:t>SMT-Linie 4 / Reflow + AOI</w:t>
            </w:r>
          </w:p>
        </w:tc>
      </w:tr>
      <w:tr>
        <w:tc>
          <w:tcPr>
            <w:tcW w:type="dxa" w:w="4320"/>
          </w:tcPr>
          <w:p>
            <w:r>
              <w:t>Auditor</w:t>
            </w:r>
          </w:p>
        </w:tc>
        <w:tc>
          <w:tcPr>
            <w:tcW w:type="dxa" w:w="4320"/>
          </w:tcPr>
          <w:p>
            <w:r>
              <w:t>Andreas Buehler (CAE) + Sabine Brand (Q-Konzern)</w:t>
            </w:r>
          </w:p>
        </w:tc>
      </w:tr>
      <w:tr>
        <w:tc>
          <w:tcPr>
            <w:tcW w:type="dxa" w:w="4320"/>
          </w:tcPr>
          <w:p>
            <w:r>
              <w:t>Auditierter (Linie)</w:t>
            </w:r>
          </w:p>
        </w:tc>
        <w:tc>
          <w:tcPr>
            <w:tcW w:type="dxa" w:w="4320"/>
          </w:tcPr>
          <w:p>
            <w:r>
              <w:t>Schichtleitung REG: Carsten Lindner / Stv. Petra Faber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Internes Prozessaudit (VDA 6.3 P5/P6) - Beobachtung</w:t>
            </w:r>
          </w:p>
        </w:tc>
      </w:tr>
      <w:tr>
        <w:tc>
          <w:tcPr>
            <w:tcW w:type="dxa" w:w="4320"/>
          </w:tcPr>
          <w:p>
            <w:r>
              <w:t>Auditkriterien</w:t>
            </w:r>
          </w:p>
        </w:tc>
        <w:tc>
          <w:tcPr>
            <w:tcW w:type="dxa" w:w="4320"/>
          </w:tcPr>
          <w:p>
            <w:r>
              <w:t>IATF 16949, VDA 6.3, OEM-CSR BMW/VW/MBZ/STE</w:t>
            </w:r>
          </w:p>
        </w:tc>
      </w:tr>
    </w:tbl>
    <w:p>
      <w:pPr>
        <w:pStyle w:val="Heading3"/>
      </w:pPr>
      <w:r>
        <w:t>2. Beobachtungen /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Klausel</w:t>
            </w:r>
          </w:p>
        </w:tc>
        <w:tc>
          <w:tcPr>
            <w:tcW w:type="dxa" w:w="2160"/>
          </w:tcPr>
          <w:p>
            <w:r>
              <w:t>Beobachtung</w:t>
            </w:r>
          </w:p>
        </w:tc>
        <w:tc>
          <w:tcPr>
            <w:tcW w:type="dxa" w:w="2160"/>
          </w:tcPr>
          <w:p>
            <w:r>
              <w:t>Klassifizierung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VDA 6.3 P5.2.1</w:t>
            </w:r>
          </w:p>
        </w:tc>
        <w:tc>
          <w:tcPr>
            <w:tcW w:type="dxa" w:w="2160"/>
          </w:tcPr>
          <w:p>
            <w:r>
              <w:t>Pruefadapter PAd-EOL-014 ohne sichtbares Kalibrieretikett im Einsatz; Pruefer konnte Status korrekt aus MES auslesen.</w:t>
            </w:r>
          </w:p>
        </w:tc>
        <w:tc>
          <w:tcPr>
            <w:tcW w:type="dxa" w:w="2160"/>
          </w:tcPr>
          <w:p>
            <w:r>
              <w:t>Hinweis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VDA 6.3 P5.3.5</w:t>
            </w:r>
          </w:p>
        </w:tc>
        <w:tc>
          <w:tcPr>
            <w:tcW w:type="dxa" w:w="2160"/>
          </w:tcPr>
          <w:p>
            <w:r>
              <w:t>Schichtuebergabeprotokoll der Frühschicht fehlte eine Pflichtangabe (Geraetestatus AOI Koh Young).</w:t>
            </w:r>
          </w:p>
        </w:tc>
        <w:tc>
          <w:tcPr>
            <w:tcW w:type="dxa" w:w="2160"/>
          </w:tcPr>
          <w:p>
            <w:r>
              <w:t>Nebenbeobachtung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VDA 6.3 P6.4.1</w:t>
            </w:r>
          </w:p>
        </w:tc>
        <w:tc>
          <w:tcPr>
            <w:tcW w:type="dxa" w:w="2160"/>
          </w:tcPr>
          <w:p>
            <w:r>
              <w:t>Reaktionsplan Loetprofil Out-of-Control korrekt umgesetzt, Linie wurde innerhalb 4 min gestoppt.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VDA 6.3 P6.5.2</w:t>
            </w:r>
          </w:p>
        </w:tc>
        <w:tc>
          <w:tcPr>
            <w:tcW w:type="dxa" w:w="2160"/>
          </w:tcPr>
          <w:p>
            <w:r>
              <w:t>Mitarbeiter konnte 5-Why-Methodik zum letzten Fehlerfall einwandfrei erlaeutern.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F5</w:t>
            </w:r>
          </w:p>
        </w:tc>
        <w:tc>
          <w:tcPr>
            <w:tcW w:type="dxa" w:w="2160"/>
          </w:tcPr>
          <w:p>
            <w:r>
              <w:t>IATF 7.1.5.1.1</w:t>
            </w:r>
          </w:p>
        </w:tc>
        <w:tc>
          <w:tcPr>
            <w:tcW w:type="dxa" w:w="2160"/>
          </w:tcPr>
          <w:p>
            <w:r>
              <w:t>Temperaturlogger Klimakammer K-04 zeigte Drift &gt; 1 K ueber 48 h; Kalibrierung vorziehen.</w:t>
            </w:r>
          </w:p>
        </w:tc>
        <w:tc>
          <w:tcPr>
            <w:tcW w:type="dxa" w:w="2160"/>
          </w:tcPr>
          <w:p>
            <w:r>
              <w:t>Major-Risiko</w:t>
            </w:r>
          </w:p>
        </w:tc>
      </w:tr>
    </w:tbl>
    <w:p>
      <w:pPr>
        <w:pStyle w:val="Heading3"/>
      </w:pPr>
      <w:r>
        <w:t>3. Vereinbarte 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Verantw.</w:t>
            </w:r>
          </w:p>
        </w:tc>
        <w:tc>
          <w:tcPr>
            <w:tcW w:type="dxa" w:w="2160"/>
          </w:tcPr>
          <w:p>
            <w:r>
              <w:t>Frist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Etikettenpflicht Pruefadapter PAd-EOL-014 in AA-EOL-01 aufnehmen</w:t>
            </w:r>
          </w:p>
        </w:tc>
        <w:tc>
          <w:tcPr>
            <w:tcW w:type="dxa" w:w="2160"/>
          </w:tcPr>
          <w:p>
            <w:r>
              <w:t>Sabine Brand</w:t>
            </w:r>
          </w:p>
        </w:tc>
        <w:tc>
          <w:tcPr>
            <w:tcW w:type="dxa" w:w="2160"/>
          </w:tcPr>
          <w:p>
            <w:r>
              <w:t>2023-10-15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Vorlage HÜP digitalisieren, Pflichtfelder erzwingen</w:t>
            </w:r>
          </w:p>
        </w:tc>
        <w:tc>
          <w:tcPr>
            <w:tcW w:type="dxa" w:w="2160"/>
          </w:tcPr>
          <w:p>
            <w:r>
              <w:t>IT-Q</w:t>
            </w:r>
          </w:p>
        </w:tc>
        <w:tc>
          <w:tcPr>
            <w:tcW w:type="dxa" w:w="2160"/>
          </w:tcPr>
          <w:p>
            <w:r>
              <w:t>2023-11-30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Vorgezogene Kalibrierung Klimakammer K-04</w:t>
            </w:r>
          </w:p>
        </w:tc>
        <w:tc>
          <w:tcPr>
            <w:tcW w:type="dxa" w:w="2160"/>
          </w:tcPr>
          <w:p>
            <w:r>
              <w:t>Instandhaltung REG</w:t>
            </w:r>
          </w:p>
        </w:tc>
        <w:tc>
          <w:tcPr>
            <w:tcW w:type="dxa" w:w="2160"/>
          </w:tcPr>
          <w:p>
            <w:r>
              <w:t>2023-09-25</w:t>
            </w:r>
          </w:p>
        </w:tc>
      </w:tr>
    </w:tbl>
    <w:p>
      <w:pPr>
        <w:pStyle w:val="Heading3"/>
      </w:pPr>
      <w:r>
        <w:t>4. Bewertung und Naechste Schritte</w:t>
      </w:r>
    </w:p>
    <w:p>
      <w:r>
        <w:t>Die Linie wurde mit dem Reifegrad B (gut, mit kleineren Findings) bewertet. Erreichte Punktzahl 87/100 nach VDA 6.3 Bewertungsschema. Die Q-Leitung von Brennhagen Elektronik GmbH stellt sicher, dass alle Massnahmen fristgerecht in OneQMS dokumentiert und mit Wirksamkeits-pruefung im Q4-Folgeaudit verifiziert werden. Bei nicht fristgerechter Schliessung wird die Beobachtung in eine CAPA hochgestuft.</w:t>
      </w:r>
    </w:p>
    <w:p>
      <w:pPr>
        <w:pStyle w:val="Heading3"/>
      </w:pPr>
      <w:r>
        <w:t>5. Unterschriften</w:t>
      </w:r>
    </w:p>
    <w:p>
      <w:r>
        <w:t>Ort, Datum: Heilbronn, den 19. September 2023</w:t>
      </w:r>
    </w:p>
    <w:p>
      <w:r>
        <w:t>_________________________            _________________________</w:t>
        <w:br/>
        <w:t>Andreas Buehler                          Andreas Maier</w:t>
        <w:br/>
        <w:t>Chief Audit Executive (Auditor)                          Werkleitung</w:t>
        <w:br/>
        <w:t>Brennhagen Elektronik AG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