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Konzern-IC-Rechnung RHU → REG vom 30.11.2020</w:t>
      </w:r>
    </w:p>
    <w:p/>
    <w:p>
      <w:pPr>
        <w:pStyle w:val="Heading3"/>
      </w:pPr>
      <w:r>
        <w:t>1. 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RHU-IC-2020-11-014</w:t>
            </w:r>
          </w:p>
        </w:tc>
      </w:tr>
      <w:tr>
        <w:tc>
          <w:tcPr>
            <w:tcW w:type="dxa" w:w="4320"/>
          </w:tcPr>
          <w:p>
            <w:r>
              <w:t>Rechnungssteller</w:t>
            </w:r>
          </w:p>
        </w:tc>
        <w:tc>
          <w:tcPr>
            <w:tcW w:type="dxa" w:w="4320"/>
          </w:tcPr>
          <w:p>
            <w:r>
              <w:t>Brennhagen Hungary Kft., Gyoer (HU)</w:t>
            </w:r>
          </w:p>
        </w:tc>
      </w:tr>
      <w:tr>
        <w:tc>
          <w:tcPr>
            <w:tcW w:type="dxa" w:w="4320"/>
          </w:tcPr>
          <w:p>
            <w:r>
              <w:t>USt-IdNr. (HU)</w:t>
            </w:r>
          </w:p>
        </w:tc>
        <w:tc>
          <w:tcPr>
            <w:tcW w:type="dxa" w:w="4320"/>
          </w:tcPr>
          <w:p>
            <w:r>
              <w:t>HU-23847190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Brennhagen Elektronik GmbH, Heilbronn (DE)</w:t>
            </w:r>
          </w:p>
        </w:tc>
      </w:tr>
      <w:tr>
        <w:tc>
          <w:tcPr>
            <w:tcW w:type="dxa" w:w="4320"/>
          </w:tcPr>
          <w:p>
            <w:r>
              <w:t>USt-IdNr. (DE)</w:t>
            </w:r>
          </w:p>
        </w:tc>
        <w:tc>
          <w:tcPr>
            <w:tcW w:type="dxa" w:w="4320"/>
          </w:tcPr>
          <w:p>
            <w:r>
              <w:t>DE-126451234</w:t>
            </w:r>
          </w:p>
        </w:tc>
      </w:tr>
      <w:tr>
        <w:tc>
          <w:tcPr>
            <w:tcW w:type="dxa" w:w="4320"/>
          </w:tcPr>
          <w:p>
            <w:r>
              <w:t>Leistung</w:t>
            </w:r>
          </w:p>
        </w:tc>
        <w:tc>
          <w:tcPr>
            <w:tcW w:type="dxa" w:w="4320"/>
          </w:tcPr>
          <w:p>
            <w:r>
              <w:t>Konzern-IC: Sensorbaugruppen Charge 2020-11</w:t>
            </w:r>
          </w:p>
        </w:tc>
      </w:tr>
      <w:tr>
        <w:tc>
          <w:tcPr>
            <w:tcW w:type="dxa" w:w="4320"/>
          </w:tcPr>
          <w:p>
            <w:r>
              <w:t>Liefermenge</w:t>
            </w:r>
          </w:p>
        </w:tc>
        <w:tc>
          <w:tcPr>
            <w:tcW w:type="dxa" w:w="4320"/>
          </w:tcPr>
          <w:p>
            <w:r>
              <w:t>12.500 Stueck Sensorbaugruppen SEN-A2</w:t>
            </w:r>
          </w:p>
        </w:tc>
      </w:tr>
      <w:tr>
        <w:tc>
          <w:tcPr>
            <w:tcW w:type="dxa" w:w="4320"/>
          </w:tcPr>
          <w:p>
            <w:r>
              <w:t>Stueckpreis IC</w:t>
            </w:r>
          </w:p>
        </w:tc>
        <w:tc>
          <w:tcPr>
            <w:tcW w:type="dxa" w:w="4320"/>
          </w:tcPr>
          <w:p>
            <w:r>
              <w:t>8,40 EUR (Cost-Plus 5 %, gem. TP-Policy 2020)</w:t>
            </w:r>
          </w:p>
        </w:tc>
      </w:tr>
      <w:tr>
        <w:tc>
          <w:tcPr>
            <w:tcW w:type="dxa" w:w="4320"/>
          </w:tcPr>
          <w:p>
            <w:r>
              <w:t>Rechnungsbetrag netto</w:t>
            </w:r>
          </w:p>
        </w:tc>
        <w:tc>
          <w:tcPr>
            <w:tcW w:type="dxa" w:w="4320"/>
          </w:tcPr>
          <w:p>
            <w:r>
              <w:t>105.000,00 EUR</w:t>
            </w:r>
          </w:p>
        </w:tc>
      </w:tr>
      <w:tr>
        <w:tc>
          <w:tcPr>
            <w:tcW w:type="dxa" w:w="4320"/>
          </w:tcPr>
          <w:p>
            <w:r>
              <w:t>Innergemeinschaftliche Lieferung</w:t>
            </w:r>
          </w:p>
        </w:tc>
        <w:tc>
          <w:tcPr>
            <w:tcW w:type="dxa" w:w="4320"/>
          </w:tcPr>
          <w:p>
            <w:r>
              <w:t>ja, steuerfrei nach § 6a UStG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30. November 2020</w:t>
            </w:r>
          </w:p>
        </w:tc>
      </w:tr>
      <w:tr>
        <w:tc>
          <w:tcPr>
            <w:tcW w:type="dxa" w:w="4320"/>
          </w:tcPr>
          <w:p>
            <w:r>
              <w:t>Leistungsdatum</w:t>
            </w:r>
          </w:p>
        </w:tc>
        <w:tc>
          <w:tcPr>
            <w:tcW w:type="dxa" w:w="4320"/>
          </w:tcPr>
          <w:p>
            <w:r>
              <w:t>Lieferung gem. CMR-Frachtbrief 14.-23.11.2020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30. Dezember 2020 (30 Tage netto)</w:t>
            </w:r>
          </w:p>
        </w:tc>
      </w:tr>
      <w:tr>
        <w:tc>
          <w:tcPr>
            <w:tcW w:type="dxa" w:w="4320"/>
          </w:tcPr>
          <w:p>
            <w:r>
              <w:t>IC-Abrechnungs-Code</w:t>
            </w:r>
          </w:p>
        </w:tc>
        <w:tc>
          <w:tcPr>
            <w:tcW w:type="dxa" w:w="4320"/>
          </w:tcPr>
          <w:p>
            <w:r>
              <w:t>ICTRX-RHU-REG-2020-11</w:t>
            </w:r>
          </w:p>
        </w:tc>
      </w:tr>
      <w:tr>
        <w:tc>
          <w:tcPr>
            <w:tcW w:type="dxa" w:w="4320"/>
          </w:tcPr>
          <w:p>
            <w:r>
              <w:t>Bestellungs-Nr. (REG)</w:t>
            </w:r>
          </w:p>
        </w:tc>
        <w:tc>
          <w:tcPr>
            <w:tcW w:type="dxa" w:w="4320"/>
          </w:tcPr>
          <w:p>
            <w:r>
              <w:t>REG-PO-2020-1187</w:t>
            </w:r>
          </w:p>
        </w:tc>
      </w:tr>
    </w:tbl>
    <w:p>
      <w:pPr>
        <w:pStyle w:val="Heading3"/>
      </w:pPr>
      <w:r>
        <w:t>2. Leistungs- und Lieferungsumfang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Preis/St.</w:t>
            </w:r>
          </w:p>
        </w:tc>
        <w:tc>
          <w:tcPr>
            <w:tcW w:type="dxa" w:w="1728"/>
          </w:tcPr>
          <w:p>
            <w:r>
              <w:t>Summe netto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Sensorbaugruppe SEN-A2 (12-Kanal Cell-Monitoring)</w:t>
            </w:r>
          </w:p>
        </w:tc>
        <w:tc>
          <w:tcPr>
            <w:tcW w:type="dxa" w:w="1728"/>
          </w:tcPr>
          <w:p>
            <w:r>
              <w:t>10.000 St.</w:t>
            </w:r>
          </w:p>
        </w:tc>
        <w:tc>
          <w:tcPr>
            <w:tcW w:type="dxa" w:w="1728"/>
          </w:tcPr>
          <w:p>
            <w:r>
              <w:t>8,40 EUR</w:t>
            </w:r>
          </w:p>
        </w:tc>
        <w:tc>
          <w:tcPr>
            <w:tcW w:type="dxa" w:w="1728"/>
          </w:tcPr>
          <w:p>
            <w:r>
              <w:t>84.000,00 EUR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Sensorbaugruppe SEN-A2 (Variante Hi-Temp)</w:t>
            </w:r>
          </w:p>
        </w:tc>
        <w:tc>
          <w:tcPr>
            <w:tcW w:type="dxa" w:w="1728"/>
          </w:tcPr>
          <w:p>
            <w:r>
              <w:t>2.500 St.</w:t>
            </w:r>
          </w:p>
        </w:tc>
        <w:tc>
          <w:tcPr>
            <w:tcW w:type="dxa" w:w="1728"/>
          </w:tcPr>
          <w:p>
            <w:r>
              <w:t>8,40 EUR</w:t>
            </w:r>
          </w:p>
        </w:tc>
        <w:tc>
          <w:tcPr>
            <w:tcW w:type="dxa" w:w="1728"/>
          </w:tcPr>
          <w:p>
            <w:r>
              <w:t>21.000,00 EUR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Summe netto</w:t>
            </w:r>
          </w:p>
        </w:tc>
        <w:tc>
          <w:tcPr>
            <w:tcW w:type="dxa" w:w="1728"/>
          </w:tcPr>
          <w:p>
            <w:r>
              <w:t>12.500 St.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105.000,00 EUR</w:t>
            </w:r>
          </w:p>
        </w:tc>
      </w:tr>
    </w:tbl>
    <w:p>
      <w:pPr>
        <w:pStyle w:val="Heading3"/>
      </w:pPr>
      <w:r>
        <w:t>3. Hinweise / Konzern-Verrechnung</w:t>
      </w:r>
    </w:p>
    <w:p>
      <w:r>
        <w:t>Die Berechnung erfolgt gemaess konzerninterner Verrechnungspreis-Policy (TP-Policy Dr. Heike Berger, Group Tax Director, Stand 2020). Methode: Cost-Plus 5 %, lokale Vergleichsanalyse fuer Sensorbaugruppen mit unabhaengigen Vergleichsunternehmen (Benchmark-Studie Q4/2019 durch KPMG Tax). Die Rechnung ist in der Konzern-IC-Plattform Coupa Treasury hinterlegt; Netting im Folgemonat ueber In-House-Bank (Markus Pflanzer, Group Treasurer). Die zugrundeliegende Liefer- und Leistungsvereinbarung (LV-RHU-REG-2018) ist Bestandteil der TP-Dokumentation und wird im Rahmen des Local File / Master File berichtet.</w:t>
      </w:r>
    </w:p>
    <w:p>
      <w:pPr>
        <w:pStyle w:val="Heading3"/>
      </w:pPr>
      <w:r>
        <w:t>4. Genehmigung</w:t>
      </w:r>
    </w:p>
    <w:p>
      <w:r>
        <w:t>Ort, Datum: Gyoer, den 30. November 2020</w:t>
      </w:r>
    </w:p>
    <w:p>
      <w:r>
        <w:t>_________________________            _________________________</w:t>
        <w:br/>
        <w:t>Laszlo Kovacs                          Andreas Maier</w:t>
        <w:br/>
        <w:t>Werkleitung RHU                          Werkleitung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