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Arbeitsanweisung Loetprozess Reflow — Brennhagen Polska Sp. z o.o.</w:t>
      </w:r>
    </w:p>
    <w:p/>
    <w:p>
      <w:pPr>
        <w:pStyle w:val="Heading3"/>
      </w:pPr>
      <w:r>
        <w:t>1. Geltungsbereich / Zweck</w:t>
      </w:r>
    </w:p>
    <w:p>
      <w:r>
        <w:t>Diese Arbeitsanweisung regelt den Prozess »Reflow-Loetprozess SMT (AA-RFL-01)« fuer das Werk Brennhagen Polska Sp. z o.o. (Katowice (PL)). Sie ist verbindlich fuer alle Mitarbeitenden in den betroffenen Schichten (3-Schicht-Betrieb) sowie fuer Praktikanten, Leiharbeitnehmer und Mitarbeitende externer Dienstleister, die in diesem Prozessbereich taetig sind. Die AA ergaenzt das uebergeordnete Konzern-QM-Handbuch nach IATF 16949 (REA-QMH-IATF, Rev. 2023) sowie die OEM-spezifischen CSR (Customer Specific Requirements) von BMW, VW, Mercedes-Benz und Stellantis.</w:t>
      </w:r>
    </w:p>
    <w:p>
      <w:pPr>
        <w:pStyle w:val="Heading3"/>
      </w:pPr>
      <w:r>
        <w:t>2. Verantwortlichkeiten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Rolle</w:t>
            </w:r>
          </w:p>
        </w:tc>
        <w:tc>
          <w:tcPr>
            <w:tcW w:type="dxa" w:w="4320"/>
          </w:tcPr>
          <w:p>
            <w:r>
              <w:t>Verantwortlich fuer</w:t>
            </w:r>
          </w:p>
        </w:tc>
      </w:tr>
      <w:tr>
        <w:tc>
          <w:tcPr>
            <w:tcW w:type="dxa" w:w="4320"/>
          </w:tcPr>
          <w:p>
            <w:r>
              <w:t>Werkleitung RPL</w:t>
            </w:r>
          </w:p>
        </w:tc>
        <w:tc>
          <w:tcPr>
            <w:tcW w:type="dxa" w:w="4320"/>
          </w:tcPr>
          <w:p>
            <w:r>
              <w:t>Marek Wojciechowski, Gesamtverantwortung Prozess</w:t>
            </w:r>
          </w:p>
        </w:tc>
      </w:tr>
      <w:tr>
        <w:tc>
          <w:tcPr>
            <w:tcW w:type="dxa" w:w="4320"/>
          </w:tcPr>
          <w:p>
            <w:r>
              <w:t>Schichtleitung</w:t>
            </w:r>
          </w:p>
        </w:tc>
        <w:tc>
          <w:tcPr>
            <w:tcW w:type="dxa" w:w="4320"/>
          </w:tcPr>
          <w:p>
            <w:r>
              <w:t>Operative Durchfuehrung, Schichtuebergabe-Protokoll</w:t>
            </w:r>
          </w:p>
        </w:tc>
      </w:tr>
      <w:tr>
        <w:tc>
          <w:tcPr>
            <w:tcW w:type="dxa" w:w="4320"/>
          </w:tcPr>
          <w:p>
            <w:r>
              <w:t>Q-Beauftragter Linie</w:t>
            </w:r>
          </w:p>
        </w:tc>
        <w:tc>
          <w:tcPr>
            <w:tcW w:type="dxa" w:w="4320"/>
          </w:tcPr>
          <w:p>
            <w:r>
              <w:t>Anna Kowalska bzw. Stellvertretung</w:t>
            </w:r>
          </w:p>
        </w:tc>
      </w:tr>
      <w:tr>
        <w:tc>
          <w:tcPr>
            <w:tcW w:type="dxa" w:w="4320"/>
          </w:tcPr>
          <w:p>
            <w:r>
              <w:t>Prozessingenieur SMT/EOL</w:t>
            </w:r>
          </w:p>
        </w:tc>
        <w:tc>
          <w:tcPr>
            <w:tcW w:type="dxa" w:w="4320"/>
          </w:tcPr>
          <w:p>
            <w:r>
              <w:t>Aenderungsmanagement, Cpk/Cmk-Monitoring</w:t>
            </w:r>
          </w:p>
        </w:tc>
      </w:tr>
      <w:tr>
        <w:tc>
          <w:tcPr>
            <w:tcW w:type="dxa" w:w="4320"/>
          </w:tcPr>
          <w:p>
            <w:r>
              <w:t>Instandhaltung</w:t>
            </w:r>
          </w:p>
        </w:tc>
        <w:tc>
          <w:tcPr>
            <w:tcW w:type="dxa" w:w="4320"/>
          </w:tcPr>
          <w:p>
            <w:r>
              <w:t>Wartungsfenster, TPM-Checkliste, Werkzeugfreigabe</w:t>
            </w:r>
          </w:p>
        </w:tc>
      </w:tr>
      <w:tr>
        <w:tc>
          <w:tcPr>
            <w:tcW w:type="dxa" w:w="4320"/>
          </w:tcPr>
          <w:p>
            <w:r>
              <w:t>Sicherheitsbeauftragter</w:t>
            </w:r>
          </w:p>
        </w:tc>
        <w:tc>
          <w:tcPr>
            <w:tcW w:type="dxa" w:w="4320"/>
          </w:tcPr>
          <w:p>
            <w:r>
              <w:t>Arbeitsschutz, ESD, PSA</w:t>
            </w:r>
          </w:p>
        </w:tc>
      </w:tr>
      <w:tr>
        <w:tc>
          <w:tcPr>
            <w:tcW w:type="dxa" w:w="4320"/>
          </w:tcPr>
          <w:p>
            <w:r>
              <w:t>Auditor (intern/extern)</w:t>
            </w:r>
          </w:p>
        </w:tc>
        <w:tc>
          <w:tcPr>
            <w:tcW w:type="dxa" w:w="4320"/>
          </w:tcPr>
          <w:p>
            <w:r>
              <w:t>Stichprobenpruefung im Rahmen interner / OEM-Audits</w:t>
            </w:r>
          </w:p>
        </w:tc>
      </w:tr>
    </w:tbl>
    <w:p>
      <w:pPr>
        <w:pStyle w:val="Heading3"/>
      </w:pPr>
      <w:r>
        <w:t>3. Prozessablauf</w:t>
      </w:r>
    </w:p>
    <w:p>
      <w:pPr>
        <w:pStyle w:val="Heading4"/>
      </w:pPr>
      <w:r>
        <w:t>3.1 — Vorbereitung</w:t>
      </w:r>
    </w:p>
    <w:p>
      <w:r>
        <w:rPr>
          <w:b/>
        </w:rPr>
        <w:t xml:space="preserve">(1) </w:t>
      </w:r>
      <w:r>
        <w:t>Werkzeug- und Geraetepruefung gemaess Pruefmittelueberwachung (Kalibrieretikett gueltig, Sichtpruefung).</w:t>
      </w:r>
    </w:p>
    <w:p>
      <w:r>
        <w:rPr>
          <w:b/>
        </w:rPr>
        <w:t xml:space="preserve">(2) </w:t>
      </w:r>
      <w:r>
        <w:t>Pruefmittel-Status in MES (Hydra) durch Login mit personifizierter ID quittieren.</w:t>
      </w:r>
    </w:p>
    <w:p>
      <w:r>
        <w:rPr>
          <w:b/>
        </w:rPr>
        <w:t xml:space="preserve">(3) </w:t>
      </w:r>
      <w:r>
        <w:t>Bereitstellung Setup-Materialien, Material-Chargennummern erfassen.</w:t>
      </w:r>
    </w:p>
    <w:p>
      <w:pPr>
        <w:pStyle w:val="Heading4"/>
      </w:pPr>
      <w:r>
        <w:t>3.2 — Durchfuehrung</w:t>
      </w:r>
    </w:p>
    <w:p>
      <w:r>
        <w:rPr>
          <w:b/>
        </w:rPr>
        <w:t xml:space="preserve">(1) </w:t>
      </w:r>
      <w:r>
        <w:t>Ausfuehrung gemaess Pruefplan / Pruefspezifikation (PS-LOE-01).</w:t>
      </w:r>
    </w:p>
    <w:p>
      <w:r>
        <w:rPr>
          <w:b/>
        </w:rPr>
        <w:t xml:space="preserve">(2) </w:t>
      </w:r>
      <w:r>
        <w:t>Live-Datenerfassung in MES; SPC-Karten (X-quer/R) bei kontinuierlichen Merkmalen.</w:t>
      </w:r>
    </w:p>
    <w:p>
      <w:r>
        <w:rPr>
          <w:b/>
        </w:rPr>
        <w:t xml:space="preserve">(3) </w:t>
      </w:r>
      <w:r>
        <w:t>Bei Out-of-Control-Signal: Reaktionsplan gemaess Control Plan abarbeiten und Sperrung der Charge bis zur Freigabe durch Q.</w:t>
      </w:r>
    </w:p>
    <w:p>
      <w:pPr>
        <w:pStyle w:val="Heading4"/>
      </w:pPr>
      <w:r>
        <w:t>3.3 — Nachbereitung</w:t>
      </w:r>
    </w:p>
    <w:p>
      <w:r>
        <w:rPr>
          <w:b/>
        </w:rPr>
        <w:t xml:space="preserve">(1) </w:t>
      </w:r>
      <w:r>
        <w:t>Dokumentation aller Pruefergebnisse mit Pruefer-ID, Charge, Pruefmittel.</w:t>
      </w:r>
    </w:p>
    <w:p>
      <w:r>
        <w:rPr>
          <w:b/>
        </w:rPr>
        <w:t xml:space="preserve">(2) </w:t>
      </w:r>
      <w:r>
        <w:t>Schichtuebergabeprotokoll (HÜP) Vollstaendigkeit pruefen; Abweichungen an Schichtfolgenden eskalieren.</w:t>
      </w:r>
    </w:p>
    <w:p>
      <w:r>
        <w:rPr>
          <w:b/>
        </w:rPr>
        <w:t xml:space="preserve">(3) </w:t>
      </w:r>
      <w:r>
        <w:t>Wartungsmeldungen via TPM-App (Tag-out, Lock-out beachten).</w:t>
      </w:r>
    </w:p>
    <w:p>
      <w:pPr>
        <w:pStyle w:val="Heading3"/>
      </w:pPr>
      <w:r>
        <w:t>4. Qualitaetsmerkmale und Reaktionsplan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Merkmal</w:t>
            </w:r>
          </w:p>
        </w:tc>
        <w:tc>
          <w:tcPr>
            <w:tcW w:type="dxa" w:w="1728"/>
          </w:tcPr>
          <w:p>
            <w:r>
              <w:t>Pruefmittel</w:t>
            </w:r>
          </w:p>
        </w:tc>
        <w:tc>
          <w:tcPr>
            <w:tcW w:type="dxa" w:w="1728"/>
          </w:tcPr>
          <w:p>
            <w:r>
              <w:t>Toleranz</w:t>
            </w:r>
          </w:p>
        </w:tc>
        <w:tc>
          <w:tcPr>
            <w:tcW w:type="dxa" w:w="1728"/>
          </w:tcPr>
          <w:p>
            <w:r>
              <w:t>Cpk-Ziel</w:t>
            </w:r>
          </w:p>
        </w:tc>
        <w:tc>
          <w:tcPr>
            <w:tcW w:type="dxa" w:w="1728"/>
          </w:tcPr>
          <w:p>
            <w:r>
              <w:t>Reaktionsplan</w:t>
            </w:r>
          </w:p>
        </w:tc>
      </w:tr>
      <w:tr>
        <w:tc>
          <w:tcPr>
            <w:tcW w:type="dxa" w:w="1728"/>
          </w:tcPr>
          <w:p>
            <w:r>
              <w:t>Loetstellenfehler (PPM)</w:t>
            </w:r>
          </w:p>
        </w:tc>
        <w:tc>
          <w:tcPr>
            <w:tcW w:type="dxa" w:w="1728"/>
          </w:tcPr>
          <w:p>
            <w:r>
              <w:t>AOI Koh Young aSpire3</w:t>
            </w:r>
          </w:p>
        </w:tc>
        <w:tc>
          <w:tcPr>
            <w:tcW w:type="dxa" w:w="1728"/>
          </w:tcPr>
          <w:p>
            <w:r>
              <w:t>&lt; 50 ppm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100% Nachpruefung Roentgen</w:t>
            </w:r>
          </w:p>
        </w:tc>
      </w:tr>
      <w:tr>
        <w:tc>
          <w:tcPr>
            <w:tcW w:type="dxa" w:w="1728"/>
          </w:tcPr>
          <w:p>
            <w:r>
              <w:t>Stromaufnahme EOL</w:t>
            </w:r>
          </w:p>
        </w:tc>
        <w:tc>
          <w:tcPr>
            <w:tcW w:type="dxa" w:w="1728"/>
          </w:tcPr>
          <w:p>
            <w:r>
              <w:t>Pruefadapter PAd-EOL-014</w:t>
            </w:r>
          </w:p>
        </w:tc>
        <w:tc>
          <w:tcPr>
            <w:tcW w:type="dxa" w:w="1728"/>
          </w:tcPr>
          <w:p>
            <w:r>
              <w:t>+/- 10 % nominal</w:t>
            </w:r>
          </w:p>
        </w:tc>
        <w:tc>
          <w:tcPr>
            <w:tcW w:type="dxa" w:w="1728"/>
          </w:tcPr>
          <w:p>
            <w:r>
              <w:t>&gt;= 1,67</w:t>
            </w:r>
          </w:p>
        </w:tc>
        <w:tc>
          <w:tcPr>
            <w:tcW w:type="dxa" w:w="1728"/>
          </w:tcPr>
          <w:p>
            <w:r>
              <w:t>Charge sperren, Engineering-Hold</w:t>
            </w:r>
          </w:p>
        </w:tc>
      </w:tr>
      <w:tr>
        <w:tc>
          <w:tcPr>
            <w:tcW w:type="dxa" w:w="1728"/>
          </w:tcPr>
          <w:p>
            <w:r>
              <w:t>Loetprofil Peak</w:t>
            </w:r>
          </w:p>
        </w:tc>
        <w:tc>
          <w:tcPr>
            <w:tcW w:type="dxa" w:w="1728"/>
          </w:tcPr>
          <w:p>
            <w:r>
              <w:t>KIC SPS-3</w:t>
            </w:r>
          </w:p>
        </w:tc>
        <w:tc>
          <w:tcPr>
            <w:tcW w:type="dxa" w:w="1728"/>
          </w:tcPr>
          <w:p>
            <w:r>
              <w:t>245 +/- 5 °C</w:t>
            </w:r>
          </w:p>
        </w:tc>
        <w:tc>
          <w:tcPr>
            <w:tcW w:type="dxa" w:w="1728"/>
          </w:tcPr>
          <w:p>
            <w:r>
              <w:t>&gt;= 1,33</w:t>
            </w:r>
          </w:p>
        </w:tc>
        <w:tc>
          <w:tcPr>
            <w:tcW w:type="dxa" w:w="1728"/>
          </w:tcPr>
          <w:p>
            <w:r>
              <w:t>Linie stoppen, Profiling erneut</w:t>
            </w:r>
          </w:p>
        </w:tc>
      </w:tr>
      <w:tr>
        <w:tc>
          <w:tcPr>
            <w:tcW w:type="dxa" w:w="1728"/>
          </w:tcPr>
          <w:p>
            <w:r>
              <w:t>Funktionstest CAN-FD</w:t>
            </w:r>
          </w:p>
        </w:tc>
        <w:tc>
          <w:tcPr>
            <w:tcW w:type="dxa" w:w="1728"/>
          </w:tcPr>
          <w:p>
            <w:r>
              <w:t>Vector VN5640</w:t>
            </w:r>
          </w:p>
        </w:tc>
        <w:tc>
          <w:tcPr>
            <w:tcW w:type="dxa" w:w="1728"/>
          </w:tcPr>
          <w:p>
            <w:r>
              <w:t>Bit Error &lt; 1e-6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Software-Sample analysieren</w:t>
            </w:r>
          </w:p>
        </w:tc>
      </w:tr>
    </w:tbl>
    <w:p>
      <w:pPr>
        <w:pStyle w:val="Heading3"/>
      </w:pPr>
      <w:r>
        <w:t>5. Aufzeichnungen</w:t>
      </w:r>
    </w:p>
    <w:p>
      <w:r>
        <w:t>Sicherung aller Pruefdaten gemaess Aufbewahrungspflicht 15 Jahre fuer sicherheitsbezogene Komponenten (D/TLD) bzw. 7 Jahre fuer Standardkomponenten. Backup in zentralem Q-DAS (qs-STAT), MES Hydra und Data Lake S3 (verschluesselt, EU-Region). Zugriffsschutz per RBAC. Bei OEM-Audit oder 8D-Anforderung erfolgt Aushang/Auszug innerhalb 24 h durch die Q-Beauftragten.</w:t>
      </w:r>
    </w:p>
    <w:p>
      <w:pPr>
        <w:pStyle w:val="Heading3"/>
      </w:pPr>
      <w:r>
        <w:t>6. Aenderungshistorie / Freigabe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Rev.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  <w:tc>
          <w:tcPr>
            <w:tcW w:type="dxa" w:w="2160"/>
          </w:tcPr>
          <w:p>
            <w:r>
              <w:t>Aenderung</w:t>
            </w:r>
          </w:p>
        </w:tc>
        <w:tc>
          <w:tcPr>
            <w:tcW w:type="dxa" w:w="2160"/>
          </w:tcPr>
          <w:p>
            <w:r>
              <w:t>Freigabe</w:t>
            </w:r>
          </w:p>
        </w:tc>
      </w:tr>
      <w:tr>
        <w:tc>
          <w:tcPr>
            <w:tcW w:type="dxa" w:w="2160"/>
          </w:tcPr>
          <w:p>
            <w:r>
              <w:t>00</w:t>
            </w:r>
          </w:p>
        </w:tc>
        <w:tc>
          <w:tcPr>
            <w:tcW w:type="dxa" w:w="2160"/>
          </w:tcPr>
          <w:p>
            <w:r>
              <w:t>2018-04-12</w:t>
            </w:r>
          </w:p>
        </w:tc>
        <w:tc>
          <w:tcPr>
            <w:tcW w:type="dxa" w:w="2160"/>
          </w:tcPr>
          <w:p>
            <w:r>
              <w:t>Erstausgabe</w:t>
            </w:r>
          </w:p>
        </w:tc>
        <w:tc>
          <w:tcPr>
            <w:tcW w:type="dxa" w:w="2160"/>
          </w:tcPr>
          <w:p>
            <w:r>
              <w:t>Marek Wojciechowski</w:t>
            </w:r>
          </w:p>
        </w:tc>
      </w:tr>
      <w:tr>
        <w:tc>
          <w:tcPr>
            <w:tcW w:type="dxa" w:w="2160"/>
          </w:tcPr>
          <w:p>
            <w:r>
              <w:t>01</w:t>
            </w:r>
          </w:p>
        </w:tc>
        <w:tc>
          <w:tcPr>
            <w:tcW w:type="dxa" w:w="2160"/>
          </w:tcPr>
          <w:p>
            <w:r>
              <w:t>2020-06-30</w:t>
            </w:r>
          </w:p>
        </w:tc>
        <w:tc>
          <w:tcPr>
            <w:tcW w:type="dxa" w:w="2160"/>
          </w:tcPr>
          <w:p>
            <w:r>
              <w:t>Umstellung Hydra-MES</w:t>
            </w:r>
          </w:p>
        </w:tc>
        <w:tc>
          <w:tcPr>
            <w:tcW w:type="dxa" w:w="2160"/>
          </w:tcPr>
          <w:p>
            <w:r>
              <w:t>Anna Kowalska</w:t>
            </w:r>
          </w:p>
        </w:tc>
      </w:tr>
      <w:tr>
        <w:tc>
          <w:tcPr>
            <w:tcW w:type="dxa" w:w="2160"/>
          </w:tcPr>
          <w:p>
            <w:r>
              <w:t>02</w:t>
            </w:r>
          </w:p>
        </w:tc>
        <w:tc>
          <w:tcPr>
            <w:tcW w:type="dxa" w:w="2160"/>
          </w:tcPr>
          <w:p>
            <w:r>
              <w:t>2022-03-21</w:t>
            </w:r>
          </w:p>
        </w:tc>
        <w:tc>
          <w:tcPr>
            <w:tcW w:type="dxa" w:w="2160"/>
          </w:tcPr>
          <w:p>
            <w:r>
              <w:t>Integration ESD-Anforderung OEM-CSR</w:t>
            </w:r>
          </w:p>
        </w:tc>
        <w:tc>
          <w:tcPr>
            <w:tcW w:type="dxa" w:w="2160"/>
          </w:tcPr>
          <w:p>
            <w:r>
              <w:t>Anna Kowalska</w:t>
            </w:r>
          </w:p>
        </w:tc>
      </w:tr>
      <w:tr>
        <w:tc>
          <w:tcPr>
            <w:tcW w:type="dxa" w:w="2160"/>
          </w:tcPr>
          <w:p>
            <w:r>
              <w:t>03</w:t>
            </w:r>
          </w:p>
        </w:tc>
        <w:tc>
          <w:tcPr>
            <w:tcW w:type="dxa" w:w="2160"/>
          </w:tcPr>
          <w:p>
            <w:r>
              <w:t>2023-09-01</w:t>
            </w:r>
          </w:p>
        </w:tc>
        <w:tc>
          <w:tcPr>
            <w:tcW w:type="dxa" w:w="2160"/>
          </w:tcPr>
          <w:p>
            <w:r>
              <w:t>Anpassung an IATF-16949-Rev 5; Reaktionsplan</w:t>
            </w:r>
          </w:p>
        </w:tc>
        <w:tc>
          <w:tcPr>
            <w:tcW w:type="dxa" w:w="2160"/>
          </w:tcPr>
          <w:p>
            <w:r>
              <w:t>Sabine Brand (Konzern-Q)</w:t>
            </w:r>
          </w:p>
        </w:tc>
      </w:tr>
    </w:tbl>
    <w:p>
      <w:pPr>
        <w:pStyle w:val="Heading3"/>
      </w:pPr>
      <w:r>
        <w:t>7. Unterschriften</w:t>
      </w:r>
    </w:p>
    <w:p>
      <w:r>
        <w:t>Ort, Datum: Katowice, den 1. September 2023</w:t>
      </w:r>
    </w:p>
    <w:p>
      <w:r>
        <w:t>_________________________            _________________________</w:t>
        <w:br/>
        <w:t>Marek Wojciechowski                          Tomasz Lewandowski (Q-Leitung RPL Katowice)</w:t>
        <w:br/>
        <w:t>Werkleitung RPL                          Q-Beauftragte</w:t>
        <w:br/>
        <w:t>Brennhagen Polska Sp. z o.o.                       Brennhagen Polska Sp. z o.o.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