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Elektronik AG</w:t>
      </w:r>
    </w:p>
    <w:p>
      <w:r>
        <w:rPr>
          <w:sz w:val="18"/>
        </w:rPr>
        <w:t>Vaihinger Straße 120, 70567 Stuttgart  |  HRB 726451, Amtsgericht Stuttgart</w:t>
      </w:r>
    </w:p>
    <w:p>
      <w:r>
        <w:t>────────────────────────────────────────────────────────────────────────────────</w:t>
      </w:r>
    </w:p>
    <w:p>
      <w:pPr>
        <w:pStyle w:val="Heading2"/>
      </w:pPr>
      <w:r>
        <w:t>Interner Kontrollbericht RPL Katowice — Q2/2019</w:t>
      </w:r>
    </w:p>
    <w:p/>
    <w:p>
      <w:pPr>
        <w:pStyle w:val="Heading3"/>
      </w:pPr>
      <w:r>
        <w:t>1. Berichtsrahmen</w:t>
      </w:r>
    </w:p>
    <w:tbl>
      <w:tblPr>
        <w:tblStyle w:val="TableGrid"/>
        <w:tblW w:type="auto" w:w="0"/>
        <w:tblLook w:firstColumn="1" w:firstRow="1" w:lastColumn="0" w:lastRow="0" w:noHBand="0" w:noVBand="1" w:val="04A0"/>
      </w:tblPr>
      <w:tblGrid>
        <w:gridCol w:w="4320"/>
        <w:gridCol w:w="4320"/>
      </w:tblGrid>
      <w:tr>
        <w:tc>
          <w:tcPr>
            <w:tcW w:type="dxa" w:w="4320"/>
          </w:tcPr>
          <w:p>
            <w:r>
              <w:t>Feld</w:t>
            </w:r>
          </w:p>
        </w:tc>
        <w:tc>
          <w:tcPr>
            <w:tcW w:type="dxa" w:w="4320"/>
          </w:tcPr>
          <w:p>
            <w:r>
              <w:t>Wert</w:t>
            </w:r>
          </w:p>
        </w:tc>
      </w:tr>
      <w:tr>
        <w:tc>
          <w:tcPr>
            <w:tcW w:type="dxa" w:w="4320"/>
          </w:tcPr>
          <w:p>
            <w:r>
              <w:t>Berichtsperiode</w:t>
            </w:r>
          </w:p>
        </w:tc>
        <w:tc>
          <w:tcPr>
            <w:tcW w:type="dxa" w:w="4320"/>
          </w:tcPr>
          <w:p>
            <w:r>
              <w:t>Q2/2019</w:t>
            </w:r>
          </w:p>
        </w:tc>
      </w:tr>
      <w:tr>
        <w:tc>
          <w:tcPr>
            <w:tcW w:type="dxa" w:w="4320"/>
          </w:tcPr>
          <w:p>
            <w:r>
              <w:t>Bericht</w:t>
            </w:r>
          </w:p>
        </w:tc>
        <w:tc>
          <w:tcPr>
            <w:tcW w:type="dxa" w:w="4320"/>
          </w:tcPr>
          <w:p>
            <w:r>
              <w:t>Internal Control / Quartalsbericht (Werk RPL Katowice)</w:t>
            </w:r>
          </w:p>
        </w:tc>
      </w:tr>
      <w:tr>
        <w:tc>
          <w:tcPr>
            <w:tcW w:type="dxa" w:w="4320"/>
          </w:tcPr>
          <w:p>
            <w:r>
              <w:t>Adressat</w:t>
            </w:r>
          </w:p>
        </w:tc>
        <w:tc>
          <w:tcPr>
            <w:tcW w:type="dxa" w:w="4320"/>
          </w:tcPr>
          <w:p>
            <w:r>
              <w:t>Konzern Audit Committee (Dr. Steinbrueck), CAE Buehler</w:t>
            </w:r>
          </w:p>
        </w:tc>
      </w:tr>
      <w:tr>
        <w:tc>
          <w:tcPr>
            <w:tcW w:type="dxa" w:w="4320"/>
          </w:tcPr>
          <w:p>
            <w:r>
              <w:t>Erstellt von</w:t>
            </w:r>
          </w:p>
        </w:tc>
        <w:tc>
          <w:tcPr>
            <w:tcW w:type="dxa" w:w="4320"/>
          </w:tcPr>
          <w:p>
            <w:r>
              <w:t>Anna Kowalska (HR/Compliance), Marek Wojciechowski (Werkleitung)</w:t>
            </w:r>
          </w:p>
        </w:tc>
      </w:tr>
      <w:tr>
        <w:tc>
          <w:tcPr>
            <w:tcW w:type="dxa" w:w="4320"/>
          </w:tcPr>
          <w:p>
            <w:r>
              <w:t>Bericht-Datum</w:t>
            </w:r>
          </w:p>
        </w:tc>
        <w:tc>
          <w:tcPr>
            <w:tcW w:type="dxa" w:w="4320"/>
          </w:tcPr>
          <w:p>
            <w:r>
              <w:t>30. Juni 2019</w:t>
            </w:r>
          </w:p>
        </w:tc>
      </w:tr>
      <w:tr>
        <w:tc>
          <w:tcPr>
            <w:tcW w:type="dxa" w:w="4320"/>
          </w:tcPr>
          <w:p>
            <w:r>
              <w:t>Berichtsstandard</w:t>
            </w:r>
          </w:p>
        </w:tc>
        <w:tc>
          <w:tcPr>
            <w:tcW w:type="dxa" w:w="4320"/>
          </w:tcPr>
          <w:p>
            <w:r>
              <w:t>Konzern-ICS-Handbuch Rev. 2018; COSO 2013</w:t>
            </w:r>
          </w:p>
        </w:tc>
      </w:tr>
      <w:tr>
        <w:tc>
          <w:tcPr>
            <w:tcW w:type="dxa" w:w="4320"/>
          </w:tcPr>
          <w:p>
            <w:r>
              <w:t>Pruefumfang</w:t>
            </w:r>
          </w:p>
        </w:tc>
        <w:tc>
          <w:tcPr>
            <w:tcW w:type="dxa" w:w="4320"/>
          </w:tcPr>
          <w:p>
            <w:r>
              <w:t>alle Schluesselkontrollen RPL Katowice + Hub Zabrze</w:t>
            </w:r>
          </w:p>
        </w:tc>
      </w:tr>
    </w:tbl>
    <w:p>
      <w:pPr>
        <w:pStyle w:val="Heading3"/>
      </w:pPr>
      <w:r>
        <w:t>2. Kontroll-Findings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Kontrolle</w:t>
            </w:r>
          </w:p>
        </w:tc>
        <w:tc>
          <w:tcPr>
            <w:tcW w:type="dxa" w:w="1728"/>
          </w:tcPr>
          <w:p>
            <w:r>
              <w:t>Beschreibung</w:t>
            </w:r>
          </w:p>
        </w:tc>
        <w:tc>
          <w:tcPr>
            <w:tcW w:type="dxa" w:w="1728"/>
          </w:tcPr>
          <w:p>
            <w:r>
              <w:t>Stichprobe</w:t>
            </w:r>
          </w:p>
        </w:tc>
        <w:tc>
          <w:tcPr>
            <w:tcW w:type="dxa" w:w="1728"/>
          </w:tcPr>
          <w:p>
            <w:r>
              <w:t>Status</w:t>
            </w:r>
          </w:p>
        </w:tc>
        <w:tc>
          <w:tcPr>
            <w:tcW w:type="dxa" w:w="1728"/>
          </w:tcPr>
          <w:p>
            <w:r>
              <w:t>Aktion</w:t>
            </w:r>
          </w:p>
        </w:tc>
      </w:tr>
      <w:tr>
        <w:tc>
          <w:tcPr>
            <w:tcW w:type="dxa" w:w="1728"/>
          </w:tcPr>
          <w:p>
            <w:r>
              <w:t>IK01</w:t>
            </w:r>
          </w:p>
        </w:tc>
        <w:tc>
          <w:tcPr>
            <w:tcW w:type="dxa" w:w="1728"/>
          </w:tcPr>
          <w:p>
            <w:r>
              <w:t>Berechtigungstrennung SAP / Ariba</w:t>
            </w:r>
          </w:p>
        </w:tc>
        <w:tc>
          <w:tcPr>
            <w:tcW w:type="dxa" w:w="1728"/>
          </w:tcPr>
          <w:p>
            <w:r>
              <w:t>30 Belege</w:t>
            </w:r>
          </w:p>
        </w:tc>
        <w:tc>
          <w:tcPr>
            <w:tcW w:type="dxa" w:w="1728"/>
          </w:tcPr>
          <w:p>
            <w:r>
              <w:t>io</w:t>
            </w:r>
          </w:p>
        </w:tc>
        <w:tc>
          <w:tcPr>
            <w:tcW w:type="dxa" w:w="1728"/>
          </w:tcPr>
          <w:p>
            <w:r>
              <w:t>—</w:t>
            </w:r>
          </w:p>
        </w:tc>
      </w:tr>
      <w:tr>
        <w:tc>
          <w:tcPr>
            <w:tcW w:type="dxa" w:w="1728"/>
          </w:tcPr>
          <w:p>
            <w:r>
              <w:t>IK02</w:t>
            </w:r>
          </w:p>
        </w:tc>
        <w:tc>
          <w:tcPr>
            <w:tcW w:type="dxa" w:w="1728"/>
          </w:tcPr>
          <w:p>
            <w:r>
              <w:t>Inventur Stichprobe (Wareneingangslager)</w:t>
            </w:r>
          </w:p>
        </w:tc>
        <w:tc>
          <w:tcPr>
            <w:tcW w:type="dxa" w:w="1728"/>
          </w:tcPr>
          <w:p>
            <w:r>
              <w:t>200 Pos.</w:t>
            </w:r>
          </w:p>
        </w:tc>
        <w:tc>
          <w:tcPr>
            <w:tcW w:type="dxa" w:w="1728"/>
          </w:tcPr>
          <w:p>
            <w:r>
              <w:t>io</w:t>
            </w:r>
          </w:p>
        </w:tc>
        <w:tc>
          <w:tcPr>
            <w:tcW w:type="dxa" w:w="1728"/>
          </w:tcPr>
          <w:p>
            <w:r>
              <w:t>—</w:t>
            </w:r>
          </w:p>
        </w:tc>
      </w:tr>
      <w:tr>
        <w:tc>
          <w:tcPr>
            <w:tcW w:type="dxa" w:w="1728"/>
          </w:tcPr>
          <w:p>
            <w:r>
              <w:t>IK03</w:t>
            </w:r>
          </w:p>
        </w:tc>
        <w:tc>
          <w:tcPr>
            <w:tcW w:type="dxa" w:w="1728"/>
          </w:tcPr>
          <w:p>
            <w:r>
              <w:t>Cash-Handling Werkskasse</w:t>
            </w:r>
          </w:p>
        </w:tc>
        <w:tc>
          <w:tcPr>
            <w:tcW w:type="dxa" w:w="1728"/>
          </w:tcPr>
          <w:p>
            <w:r>
              <w:t>alle Tage</w:t>
            </w:r>
          </w:p>
        </w:tc>
        <w:tc>
          <w:tcPr>
            <w:tcW w:type="dxa" w:w="1728"/>
          </w:tcPr>
          <w:p>
            <w:r>
              <w:t>io</w:t>
            </w:r>
          </w:p>
        </w:tc>
        <w:tc>
          <w:tcPr>
            <w:tcW w:type="dxa" w:w="1728"/>
          </w:tcPr>
          <w:p>
            <w:r>
              <w:t>—</w:t>
            </w:r>
          </w:p>
        </w:tc>
      </w:tr>
      <w:tr>
        <w:tc>
          <w:tcPr>
            <w:tcW w:type="dxa" w:w="1728"/>
          </w:tcPr>
          <w:p>
            <w:r>
              <w:t>IK04</w:t>
            </w:r>
          </w:p>
        </w:tc>
        <w:tc>
          <w:tcPr>
            <w:tcW w:type="dxa" w:w="1728"/>
          </w:tcPr>
          <w:p>
            <w:r>
              <w:t>Personalnebenkosten / Spesenabrechnung</w:t>
            </w:r>
          </w:p>
        </w:tc>
        <w:tc>
          <w:tcPr>
            <w:tcW w:type="dxa" w:w="1728"/>
          </w:tcPr>
          <w:p>
            <w:r>
              <w:t>30 Abrechnungen</w:t>
            </w:r>
          </w:p>
        </w:tc>
        <w:tc>
          <w:tcPr>
            <w:tcW w:type="dxa" w:w="1728"/>
          </w:tcPr>
          <w:p>
            <w:r>
              <w:t>Hinweis</w:t>
            </w:r>
          </w:p>
        </w:tc>
        <w:tc>
          <w:tcPr>
            <w:tcW w:type="dxa" w:w="1728"/>
          </w:tcPr>
          <w:p>
            <w:r>
              <w:t>2 Beleg-Nacherfassung</w:t>
            </w:r>
          </w:p>
        </w:tc>
      </w:tr>
      <w:tr>
        <w:tc>
          <w:tcPr>
            <w:tcW w:type="dxa" w:w="1728"/>
          </w:tcPr>
          <w:p>
            <w:r>
              <w:t>IK05</w:t>
            </w:r>
          </w:p>
        </w:tc>
        <w:tc>
          <w:tcPr>
            <w:tcW w:type="dxa" w:w="1728"/>
          </w:tcPr>
          <w:p>
            <w:r>
              <w:t>Schlue</w:t>
              <w:tab/>
              <w:t>sselverwaltung Zugangskontrolle</w:t>
            </w:r>
          </w:p>
        </w:tc>
        <w:tc>
          <w:tcPr>
            <w:tcW w:type="dxa" w:w="1728"/>
          </w:tcPr>
          <w:p>
            <w:r>
              <w:t>alle Schluessel</w:t>
            </w:r>
          </w:p>
        </w:tc>
        <w:tc>
          <w:tcPr>
            <w:tcW w:type="dxa" w:w="1728"/>
          </w:tcPr>
          <w:p>
            <w:r>
              <w:t>io</w:t>
            </w:r>
          </w:p>
        </w:tc>
        <w:tc>
          <w:tcPr>
            <w:tcW w:type="dxa" w:w="1728"/>
          </w:tcPr>
          <w:p>
            <w:r>
              <w:t>—</w:t>
            </w:r>
          </w:p>
        </w:tc>
      </w:tr>
      <w:tr>
        <w:tc>
          <w:tcPr>
            <w:tcW w:type="dxa" w:w="1728"/>
          </w:tcPr>
          <w:p>
            <w:r>
              <w:t>IK06</w:t>
            </w:r>
          </w:p>
        </w:tc>
        <w:tc>
          <w:tcPr>
            <w:tcW w:type="dxa" w:w="1728"/>
          </w:tcPr>
          <w:p>
            <w:r>
              <w:t>Wareneingangs-Buchungskontrolle (3-Way-Match)</w:t>
            </w:r>
          </w:p>
        </w:tc>
        <w:tc>
          <w:tcPr>
            <w:tcW w:type="dxa" w:w="1728"/>
          </w:tcPr>
          <w:p>
            <w:r>
              <w:t>50 Buchungen</w:t>
            </w:r>
          </w:p>
        </w:tc>
        <w:tc>
          <w:tcPr>
            <w:tcW w:type="dxa" w:w="1728"/>
          </w:tcPr>
          <w:p>
            <w:r>
              <w:t>io</w:t>
            </w:r>
          </w:p>
        </w:tc>
        <w:tc>
          <w:tcPr>
            <w:tcW w:type="dxa" w:w="1728"/>
          </w:tcPr>
          <w:p>
            <w:r>
              <w:t>—</w:t>
            </w:r>
          </w:p>
        </w:tc>
      </w:tr>
      <w:tr>
        <w:tc>
          <w:tcPr>
            <w:tcW w:type="dxa" w:w="1728"/>
          </w:tcPr>
          <w:p>
            <w:r>
              <w:t>IK07</w:t>
            </w:r>
          </w:p>
        </w:tc>
        <w:tc>
          <w:tcPr>
            <w:tcW w:type="dxa" w:w="1728"/>
          </w:tcPr>
          <w:p>
            <w:r>
              <w:t>Lohnsteuer / Sozialversicherung Polen (ZUS)</w:t>
            </w:r>
          </w:p>
        </w:tc>
        <w:tc>
          <w:tcPr>
            <w:tcW w:type="dxa" w:w="1728"/>
          </w:tcPr>
          <w:p>
            <w:r>
              <w:t>Monatsmeldungen</w:t>
            </w:r>
          </w:p>
        </w:tc>
        <w:tc>
          <w:tcPr>
            <w:tcW w:type="dxa" w:w="1728"/>
          </w:tcPr>
          <w:p>
            <w:r>
              <w:t>io</w:t>
            </w:r>
          </w:p>
        </w:tc>
        <w:tc>
          <w:tcPr>
            <w:tcW w:type="dxa" w:w="1728"/>
          </w:tcPr>
          <w:p>
            <w:r>
              <w:t>—</w:t>
            </w:r>
          </w:p>
        </w:tc>
      </w:tr>
    </w:tbl>
    <w:p>
      <w:pPr>
        <w:pStyle w:val="Heading3"/>
      </w:pPr>
      <w:r>
        <w:t>3. Detail Hinweis IK04</w:t>
      </w:r>
    </w:p>
    <w:p>
      <w:r>
        <w:t>In 2 von 30 stichprobenartig geprueften Reisekostenabrechnungen fehlten Bewirtungsbelege ueber zusammen ca. 84 EUR; die Belege wurden nachgereicht und vom Vorgesetzten (Marek Wojciechowski) gegengezeichnet. Massnahme: Im Folgequartal werden alle Bewirtungs-und Hotelbelege per Pflichtfeld im Concur-System unmittelbar als Foto-Upload eingefordert. Schulung der Schichtleitung Mitte Juli 2019. Verantwortlich Anna Kowalska.</w:t>
      </w:r>
    </w:p>
    <w:p>
      <w:pPr>
        <w:pStyle w:val="Heading3"/>
      </w:pPr>
      <w:r>
        <w:t>4. Zusammenfassung</w:t>
      </w:r>
    </w:p>
    <w:p>
      <w:r>
        <w:t>Keine materiellen Schwaechen festgestellt. Die Hinweis-Finding aus IK04 wird durch erweiterte Belegpflicht im naechsten Quartal abgestellt. Die interne Kontrollstruktur des Werks RPL Katowice ist wirksam und angemessen. Naechste Quartalspruefung erfolgt Ende September 2019 mit Schwerpunkt Halbjahresabschluss-Vorbereitung.</w:t>
      </w:r>
    </w:p>
    <w:p>
      <w:pPr>
        <w:pStyle w:val="Heading3"/>
      </w:pPr>
      <w:r>
        <w:t>5. Unterschriften</w:t>
      </w:r>
    </w:p>
    <w:p>
      <w:r>
        <w:t>Ort, Datum: Katowice, den 30. Juni 2019</w:t>
      </w:r>
    </w:p>
    <w:p>
      <w:r>
        <w:t>_________________________            _________________________</w:t>
        <w:br/>
        <w:t>Anna Kowalska                          Andreas Buehler</w:t>
        <w:br/>
        <w:t>HR/Compliance                          Chief Audit Executive</w:t>
        <w:br/>
        <w:t>Brennhagen Polska Sp. z o.o.                       Brennhagen Elektronik 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