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Eingangswarenprufung — Brennhagen Software GmbH</w:t>
      </w:r>
    </w:p>
    <w:p/>
    <w:p>
      <w:pPr>
        <w:pStyle w:val="Heading3"/>
      </w:pPr>
      <w:r>
        <w:t>1. Geltungsbereich / Zweck</w:t>
      </w:r>
    </w:p>
    <w:p>
      <w:r>
        <w:t>Diese Arbeitsanweisung regelt den Prozess »Wareneingangspruefung (AA-WE-01)« fuer das Werk Brennhagen Software GmbH (Muenchen (DE)).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RSG</w:t>
            </w:r>
          </w:p>
        </w:tc>
        <w:tc>
          <w:tcPr>
            <w:tcW w:type="dxa" w:w="4320"/>
          </w:tcPr>
          <w:p>
            <w:r>
              <w:t>Dr. Klaus Kessler,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Lars Wittmann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(PS-EIN-01).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Dr. Klaus Kessler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Muenchen, den 1. September 2023</w:t>
      </w:r>
    </w:p>
    <w:p>
      <w:r>
        <w:t>_________________________            _________________________</w:t>
        <w:br/>
        <w:t>Dr. Klaus Kessler                          Dr. Markus Hauser (Q-Leitung RSG Muenchen)</w:t>
        <w:br/>
        <w:t>Werkleitung RSG                          Q-Beauftragte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