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ECO-BMS-12-010-2022</w:t>
      </w:r>
    </w:p>
    <w:p>
      <w:pPr>
        <w:jc w:val="center"/>
      </w:pPr>
      <w:r>
        <w:t>Produkt BatteryMS-12 Batteriemanagementsystem – ECO Nr. 010/2022</w:t>
      </w:r>
    </w:p>
    <w:p/>
    <w:p>
      <w:pPr>
        <w:pStyle w:val="Heading3"/>
      </w:pPr>
      <w:r>
        <w:t>1. Antragsdaten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ECO-BMS-12-010-2022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BatteryMS-12 Batteriemanagementsystem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15. Juni 2022</w:t>
            </w:r>
          </w:p>
        </w:tc>
      </w:tr>
      <w:tr>
        <w:tc>
          <w:tcPr>
            <w:tcW w:type="dxa" w:w="4320"/>
          </w:tcPr>
          <w:p>
            <w:r>
              <w:t>Fachbereich</w:t>
            </w:r>
          </w:p>
        </w:tc>
        <w:tc>
          <w:tcPr>
            <w:tcW w:type="dxa" w:w="4320"/>
          </w:tcPr>
          <w:p>
            <w:r>
              <w:t>Engineering / R&amp;D</w:t>
            </w:r>
          </w:p>
        </w:tc>
      </w:tr>
      <w:tr>
        <w:tc>
          <w:tcPr>
            <w:tcW w:type="dxa" w:w="4320"/>
          </w:tcPr>
          <w:p>
            <w:r>
              <w:t>Betroffene Kunden</w:t>
            </w:r>
          </w:p>
        </w:tc>
        <w:tc>
          <w:tcPr>
            <w:tcW w:type="dxa" w:w="4320"/>
          </w:tcPr>
          <w:p>
            <w:r>
              <w:t>VW (ID.7), Hyundai</w:t>
            </w:r>
          </w:p>
        </w:tc>
      </w:tr>
      <w:tr>
        <w:tc>
          <w:tcPr>
            <w:tcW w:type="dxa" w:w="4320"/>
          </w:tcPr>
          <w:p>
            <w:r>
              <w:t>Klassifizierung</w:t>
            </w:r>
          </w:p>
        </w:tc>
        <w:tc>
          <w:tcPr>
            <w:tcW w:type="dxa" w:w="4320"/>
          </w:tcPr>
          <w:p>
            <w:r>
              <w:t>Minor Change</w:t>
            </w:r>
          </w:p>
        </w:tc>
      </w:tr>
      <w:tr>
        <w:tc>
          <w:tcPr>
            <w:tcW w:type="dxa" w:w="4320"/>
          </w:tcPr>
          <w:p>
            <w:r>
              <w:t>Kostenstelle</w:t>
            </w:r>
          </w:p>
        </w:tc>
        <w:tc>
          <w:tcPr>
            <w:tcW w:type="dxa" w:w="4320"/>
          </w:tcPr>
          <w:p>
            <w:r>
              <w:t>5210 / R&amp;D</w:t>
            </w:r>
          </w:p>
        </w:tc>
      </w:tr>
      <w:tr>
        <w:tc>
          <w:tcPr>
            <w:tcW w:type="dxa" w:w="4320"/>
          </w:tcPr>
          <w:p>
            <w:r>
              <w:t>CCB-Termin</w:t>
            </w:r>
          </w:p>
        </w:tc>
        <w:tc>
          <w:tcPr>
            <w:tcW w:type="dxa" w:w="4320"/>
          </w:tcPr>
          <w:p>
            <w:r>
              <w:t>22. Juni 2022</w:t>
            </w:r>
          </w:p>
        </w:tc>
      </w:tr>
    </w:tbl>
    <w:p>
      <w:pPr>
        <w:pStyle w:val="Heading3"/>
      </w:pPr>
      <w:r>
        <w:t>2. Beschreibung der Aenderung</w:t>
      </w:r>
    </w:p>
    <w:p>
      <w:r>
        <w:t>Im Rahmen der laufenden Produktpflege des BatteryMS-12 Batteriemanagementsystem (Produkt-Code BMS-12) wird die folgende Aenderung beantragt: Anpassung der SOC-Schaetzung fuer Niedertemperatur-Betrieb (-20 degC bis 0 degC) nach Feldbeobachtungen bei VW ID.7, Reduktion der SOC-Abweichung von 4,2 % auf 2,1 %. Die Aenderung wird sowohl auf der Hardware- (sofern betroffen) als auch auf der Software-Ebene umgesetzt. Die technische Verantwortung liegt bei Dr. Petra Hollmann (REG), die Implementierung erfolgt durch die zustaendigen Entwicklungsteams in Heilbronn (REG) und Muenchen (RSG).</w:t>
      </w:r>
    </w:p>
    <w:p>
      <w:pPr>
        <w:pStyle w:val="Heading3"/>
      </w:pPr>
      <w:r>
        <w:t>3. Begruendung</w:t>
      </w:r>
    </w:p>
    <w:p>
      <w:r>
        <w:t>Die Aenderung ist erforderlich, um die mit den OEM-Kunden (VW (ID.7), Hyundai) abgestimmten Anforderungen zu erfuellen sowie um identifizierte Field-Issues und/oder regulatorische Vorgaben abzudecken. Die technischen Themen umfassen: Cell-Supervisor, Balancing, Thermomanagement. Eine Nichtumsetzung wuerde zu Vertragsabweichungen und ggf. Reklamationen fuehren. Die Aenderung ist ferner Voraussetzung fuer die Freigabe der naechsten Software-Release (SW-R-2022.2).</w:t>
      </w:r>
    </w:p>
    <w:p>
      <w:pPr>
        <w:pStyle w:val="Heading3"/>
      </w:pPr>
      <w:r>
        <w:t>4. Auswirkungen (Impact-Analyse)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Funktionssicherheit (ISO 26262)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ASIL-D-Konformitaet bleibt erhalten</w:t>
            </w:r>
          </w:p>
        </w:tc>
      </w:tr>
      <w:tr>
        <w:tc>
          <w:tcPr>
            <w:tcW w:type="dxa" w:w="2880"/>
          </w:tcPr>
          <w:p>
            <w:r>
              <w:t>Cybersecurity (ISO/SAE 21434)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Aenderung der Threat-Modell-Grundlage</w:t>
            </w:r>
          </w:p>
        </w:tc>
      </w:tr>
      <w:tr>
        <w:tc>
          <w:tcPr>
            <w:tcW w:type="dxa" w:w="2880"/>
          </w:tcPr>
          <w:p>
            <w:r>
              <w:t>EMV (LV124, CISPR 25)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Re-Test EMV erforderlich</w:t>
            </w:r>
          </w:p>
        </w:tc>
      </w:tr>
      <w:tr>
        <w:tc>
          <w:tcPr>
            <w:tcW w:type="dxa" w:w="2880"/>
          </w:tcPr>
          <w:p>
            <w:r>
              <w:t>Klima-/Mechanikvalidierung</w:t>
            </w:r>
          </w:p>
        </w:tc>
        <w:tc>
          <w:tcPr>
            <w:tcW w:type="dxa" w:w="2880"/>
          </w:tcPr>
          <w:p>
            <w:r>
              <w:t>GERING</w:t>
            </w:r>
          </w:p>
        </w:tc>
        <w:tc>
          <w:tcPr>
            <w:tcW w:type="dxa" w:w="2880"/>
          </w:tcPr>
          <w:p>
            <w:r>
              <w:t>Keine HW-Aenderung</w:t>
            </w:r>
          </w:p>
        </w:tc>
      </w:tr>
      <w:tr>
        <w:tc>
          <w:tcPr>
            <w:tcW w:type="dxa" w:w="2880"/>
          </w:tcPr>
          <w:p>
            <w:r>
              <w:t>Produktion / EOL-Test</w:t>
            </w:r>
          </w:p>
        </w:tc>
        <w:tc>
          <w:tcPr>
            <w:tcW w:type="dxa" w:w="2880"/>
          </w:tcPr>
          <w:p>
            <w:r>
              <w:t>MITTEL</w:t>
            </w:r>
          </w:p>
        </w:tc>
        <w:tc>
          <w:tcPr>
            <w:tcW w:type="dxa" w:w="2880"/>
          </w:tcPr>
          <w:p>
            <w:r>
              <w:t>EOL-Skript-Update erforderlich</w:t>
            </w:r>
          </w:p>
        </w:tc>
      </w:tr>
      <w:tr>
        <w:tc>
          <w:tcPr>
            <w:tcW w:type="dxa" w:w="2880"/>
          </w:tcPr>
          <w:p>
            <w:r>
              <w:t>Kostenwirkung (Stueck)</w:t>
            </w:r>
          </w:p>
        </w:tc>
        <w:tc>
          <w:tcPr>
            <w:tcW w:type="dxa" w:w="2880"/>
          </w:tcPr>
          <w:p>
            <w:r>
              <w:t>± 0,12 EUR</w:t>
            </w:r>
          </w:p>
        </w:tc>
        <w:tc>
          <w:tcPr>
            <w:tcW w:type="dxa" w:w="2880"/>
          </w:tcPr>
          <w:p>
            <w:r>
              <w:t>Vernachlaessigbar</w:t>
            </w:r>
          </w:p>
        </w:tc>
      </w:tr>
      <w:tr>
        <w:tc>
          <w:tcPr>
            <w:tcW w:type="dxa" w:w="2880"/>
          </w:tcPr>
          <w:p>
            <w:r>
              <w:t>PPAP-Relevanz</w:t>
            </w:r>
          </w:p>
        </w:tc>
        <w:tc>
          <w:tcPr>
            <w:tcW w:type="dxa" w:w="2880"/>
          </w:tcPr>
          <w:p>
            <w:r>
              <w:t>NEIN</w:t>
            </w:r>
          </w:p>
        </w:tc>
        <w:tc>
          <w:tcPr>
            <w:tcW w:type="dxa" w:w="2880"/>
          </w:tcPr>
          <w:p>
            <w:r>
              <w:t>Bei Major Change PPAP-Update erforderlich</w:t>
            </w:r>
          </w:p>
        </w:tc>
      </w:tr>
      <w:tr>
        <w:tc>
          <w:tcPr>
            <w:tcW w:type="dxa" w:w="2880"/>
          </w:tcPr>
          <w:p>
            <w:r>
              <w:t>Zeitplan</w:t>
            </w:r>
          </w:p>
        </w:tc>
        <w:tc>
          <w:tcPr>
            <w:tcW w:type="dxa" w:w="2880"/>
          </w:tcPr>
          <w:p>
            <w:r>
              <w:t>8 Wochen</w:t>
            </w:r>
          </w:p>
        </w:tc>
        <w:tc>
          <w:tcPr>
            <w:tcW w:type="dxa" w:w="2880"/>
          </w:tcPr>
          <w:p>
            <w:r>
              <w:t>Implementierung bis Q4</w:t>
            </w:r>
          </w:p>
        </w:tc>
      </w:tr>
    </w:tbl>
    <w:p>
      <w:pPr>
        <w:pStyle w:val="Heading3"/>
      </w:pPr>
      <w:r>
        <w:t>5. Umsetzungsplan</w:t>
      </w:r>
    </w:p>
    <w:p>
      <w:pPr>
        <w:pStyle w:val="ListBullet"/>
      </w:pPr>
      <w:r>
        <w:t>Woche 1-2: Detail-Spezifikation und Lastenheft-Update</w:t>
      </w:r>
    </w:p>
    <w:p>
      <w:pPr>
        <w:pStyle w:val="ListBullet"/>
      </w:pPr>
      <w:r>
        <w:t>Woche 3-5: Implementierung Software / ggf. HW-Aenderung</w:t>
      </w:r>
    </w:p>
    <w:p>
      <w:pPr>
        <w:pStyle w:val="ListBullet"/>
      </w:pPr>
      <w:r>
        <w:t>Woche 6: Modul-/Integrationstest</w:t>
      </w:r>
    </w:p>
    <w:p>
      <w:pPr>
        <w:pStyle w:val="ListBullet"/>
      </w:pPr>
      <w:r>
        <w:t>Woche 7: Systemtest + Validierung (EMV, Klima sofern betroffen)</w:t>
      </w:r>
    </w:p>
    <w:p>
      <w:pPr>
        <w:pStyle w:val="ListBullet"/>
      </w:pPr>
      <w:r>
        <w:t>Woche 8: Freigabe durch CCB, Roll-out via SW-OTA / Werks-Update</w:t>
      </w:r>
    </w:p>
    <w:p>
      <w:pPr>
        <w:pStyle w:val="Heading3"/>
      </w:pPr>
      <w:r>
        <w:t>6. Genehmigungen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Funktion</w:t>
            </w:r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Datum</w:t>
            </w:r>
          </w:p>
        </w:tc>
      </w:tr>
      <w:tr>
        <w:tc>
          <w:tcPr>
            <w:tcW w:type="dxa" w:w="2160"/>
          </w:tcPr>
          <w:p>
            <w:r>
              <w:t>Engineering Lead</w:t>
            </w:r>
          </w:p>
        </w:tc>
        <w:tc>
          <w:tcPr>
            <w:tcW w:type="dxa" w:w="2160"/>
          </w:tcPr>
          <w:p>
            <w:r>
              <w:t>Dr. Petra Hollmann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Quality (Q)</w:t>
            </w:r>
          </w:p>
        </w:tc>
        <w:tc>
          <w:tcPr>
            <w:tcW w:type="dxa" w:w="2160"/>
          </w:tcPr>
          <w:p>
            <w:r>
              <w:t>Sabine Brand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Functional Safety</w:t>
            </w:r>
          </w:p>
        </w:tc>
        <w:tc>
          <w:tcPr>
            <w:tcW w:type="dxa" w:w="2160"/>
          </w:tcPr>
          <w:p>
            <w:r>
              <w:t>Dr. Klaus Kessler (RSG)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Andreas Maier (REG)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Procurement</w:t>
            </w:r>
          </w:p>
        </w:tc>
        <w:tc>
          <w:tcPr>
            <w:tcW w:type="dxa" w:w="2160"/>
          </w:tcPr>
          <w:p>
            <w:r>
              <w:t>Anette Schmidt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22.06.2022</w:t>
            </w:r>
          </w:p>
        </w:tc>
      </w:tr>
      <w:tr>
        <w:tc>
          <w:tcPr>
            <w:tcW w:type="dxa" w:w="2160"/>
          </w:tcPr>
          <w:p>
            <w:r>
              <w:t>Customer Mgmt</w:t>
            </w:r>
          </w:p>
        </w:tc>
        <w:tc>
          <w:tcPr>
            <w:tcW w:type="dxa" w:w="2160"/>
          </w:tcPr>
          <w:p>
            <w:r>
              <w:t>Stefan Richter (CMO/BD)</w:t>
            </w:r>
          </w:p>
        </w:tc>
        <w:tc>
          <w:tcPr>
            <w:tcW w:type="dxa" w:w="2160"/>
          </w:tcPr>
          <w:p>
            <w:r>
              <w:t>GENEHMIGT</w:t>
            </w:r>
          </w:p>
        </w:tc>
        <w:tc>
          <w:tcPr>
            <w:tcW w:type="dxa" w:w="2160"/>
          </w:tcPr>
          <w:p>
            <w:r>
              <w:t>23.06.2022</w:t>
            </w:r>
          </w:p>
        </w:tc>
      </w:tr>
    </w:tbl>
    <w:p>
      <w:pPr>
        <w:pStyle w:val="Heading3"/>
      </w:pPr>
      <w:r>
        <w:t>7. Kundeninformation</w:t>
      </w:r>
    </w:p>
    <w:p>
      <w:r>
        <w:t>Die betroffenen OEM-Kunden (VW (ID.7), Hyundai) werden ueber die Aenderung mittels Customer Change Request (CCR) Nr. CCR-BMS-12-010-2022 informiert. Die Freigabe durch die OEM-Kunden wird bis Ende Q3 2022 erwartet.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