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ECO-ECU-900-014-2022</w:t>
      </w:r>
    </w:p>
    <w:p>
      <w:pPr>
        <w:jc w:val="center"/>
      </w:pPr>
      <w:r>
        <w:t>Produkt Powertrain-ECU Gen3 – ECO Nr. 014/2022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ECO-ECU-900-014-2022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Powertrain-ECU Gen3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Schultheiss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(MEB+/MQB-Evo),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Powertrain-ECU Gen3 (Produkt-Code ECU-900) wird die folgende Aenderung beantragt: AUTOSAR-Stack-Update von R20-11 auf R21-11 mit Anpassung des RTE-Generators und Korrektur eines Latenzproblems im CAN-FD-Sendebuffer. Die Aenderung wird sowohl auf der Hardware- (sofern betroffen) als auch auf der Software-Ebene umgesetzt. Die technische Verantwortung liegt bei Andreas Schultheiss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(MEB+/MQB-Evo), Stellantis) abgestimmten Anforderungen zu erfuellen sowie um identifizierte Field-Issues und/oder regulatorische Vorgaben abzudecken. Die technischen Themen umfassen: Aurix TC397, AUTOSAR 4.3, OBD/UDS. Eine Nichtumsetzung wuerde zu Vertragsabweichungen und ggf. Reklamationen fuehren. Die Aenderung ist ferner Voraussetzung fuer die Freigabe der naechsten Software-Release (SW-R-2022.6).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Andreas Schultheiss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(MEB+/MQB-Evo), Stellantis) werden ueber die Aenderung mittels Customer Change Request (CCR) Nr. CCR-ECU-900-014-2022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