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Engineering Change Order ECO-ICP-3-015-2023</w:t>
      </w:r>
    </w:p>
    <w:p>
      <w:pPr>
        <w:jc w:val="center"/>
      </w:pPr>
      <w:r>
        <w:t>Produkt InfoConnect Pro Infotainment-Modul – ECO Nr. 015/2023</w:t>
      </w:r>
    </w:p>
    <w:p/>
    <w:p>
      <w:pPr>
        <w:pStyle w:val="Heading3"/>
      </w:pPr>
      <w:r>
        <w:t>1. Antragsdaten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ECO-Nummer</w:t>
            </w:r>
          </w:p>
        </w:tc>
        <w:tc>
          <w:tcPr>
            <w:tcW w:type="dxa" w:w="4320"/>
          </w:tcPr>
          <w:p>
            <w:r>
              <w:t>ECO-ICP-3-015-2023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InfoConnect Pro Infotainment-Modul</w:t>
            </w:r>
          </w:p>
        </w:tc>
      </w:tr>
      <w:tr>
        <w:tc>
          <w:tcPr>
            <w:tcW w:type="dxa" w:w="4320"/>
          </w:tcPr>
          <w:p>
            <w:r>
              <w:t>Antragsteller</w:t>
            </w:r>
          </w:p>
        </w:tc>
        <w:tc>
          <w:tcPr>
            <w:tcW w:type="dxa" w:w="4320"/>
          </w:tcPr>
          <w:p>
            <w:r>
              <w:t>Lars Wittmann (RSG)</w:t>
            </w:r>
          </w:p>
        </w:tc>
      </w:tr>
      <w:tr>
        <w:tc>
          <w:tcPr>
            <w:tcW w:type="dxa" w:w="4320"/>
          </w:tcPr>
          <w:p>
            <w:r>
              <w:t>Antragsdatum</w:t>
            </w:r>
          </w:p>
        </w:tc>
        <w:tc>
          <w:tcPr>
            <w:tcW w:type="dxa" w:w="4320"/>
          </w:tcPr>
          <w:p>
            <w:r>
              <w:t>15. Juni 2023</w:t>
            </w:r>
          </w:p>
        </w:tc>
      </w:tr>
      <w:tr>
        <w:tc>
          <w:tcPr>
            <w:tcW w:type="dxa" w:w="4320"/>
          </w:tcPr>
          <w:p>
            <w:r>
              <w:t>Fachbereich</w:t>
            </w:r>
          </w:p>
        </w:tc>
        <w:tc>
          <w:tcPr>
            <w:tcW w:type="dxa" w:w="4320"/>
          </w:tcPr>
          <w:p>
            <w:r>
              <w:t>Engineering / R&amp;D</w:t>
            </w:r>
          </w:p>
        </w:tc>
      </w:tr>
      <w:tr>
        <w:tc>
          <w:tcPr>
            <w:tcW w:type="dxa" w:w="4320"/>
          </w:tcPr>
          <w:p>
            <w:r>
              <w:t>Betroffene Kunden</w:t>
            </w:r>
          </w:p>
        </w:tc>
        <w:tc>
          <w:tcPr>
            <w:tcW w:type="dxa" w:w="4320"/>
          </w:tcPr>
          <w:p>
            <w:r>
              <w:t>BMW, Mercedes</w:t>
            </w:r>
          </w:p>
        </w:tc>
      </w:tr>
      <w:tr>
        <w:tc>
          <w:tcPr>
            <w:tcW w:type="dxa" w:w="4320"/>
          </w:tcPr>
          <w:p>
            <w:r>
              <w:t>Klassifizierung</w:t>
            </w:r>
          </w:p>
        </w:tc>
        <w:tc>
          <w:tcPr>
            <w:tcW w:type="dxa" w:w="4320"/>
          </w:tcPr>
          <w:p>
            <w:r>
              <w:t>Major Change</w:t>
            </w:r>
          </w:p>
        </w:tc>
      </w:tr>
      <w:tr>
        <w:tc>
          <w:tcPr>
            <w:tcW w:type="dxa" w:w="4320"/>
          </w:tcPr>
          <w:p>
            <w:r>
              <w:t>Kostenstelle</w:t>
            </w:r>
          </w:p>
        </w:tc>
        <w:tc>
          <w:tcPr>
            <w:tcW w:type="dxa" w:w="4320"/>
          </w:tcPr>
          <w:p>
            <w:r>
              <w:t>5210 / R&amp;D</w:t>
            </w:r>
          </w:p>
        </w:tc>
      </w:tr>
      <w:tr>
        <w:tc>
          <w:tcPr>
            <w:tcW w:type="dxa" w:w="4320"/>
          </w:tcPr>
          <w:p>
            <w:r>
              <w:t>CCB-Termin</w:t>
            </w:r>
          </w:p>
        </w:tc>
        <w:tc>
          <w:tcPr>
            <w:tcW w:type="dxa" w:w="4320"/>
          </w:tcPr>
          <w:p>
            <w:r>
              <w:t>22. Juni 2023</w:t>
            </w:r>
          </w:p>
        </w:tc>
      </w:tr>
    </w:tbl>
    <w:p>
      <w:pPr>
        <w:pStyle w:val="Heading3"/>
      </w:pPr>
      <w:r>
        <w:t>2. Beschreibung der Aenderung</w:t>
      </w:r>
    </w:p>
    <w:p>
      <w:r>
        <w:t>Im Rahmen der laufenden Produktpflege des InfoConnect Pro Infotainment-Modul (Produkt-Code ICP-3) wird die folgende Aenderung beantragt: Integration der neuen BMW Style-Guide 2023 in die HMI-Schicht, Wechsel des Compositors auf Wayland 1.21, Verbesserung der App-Cold-Start-Zeit. Die Aenderung wird sowohl auf der Hardware- (sofern betroffen) als auch auf der Software-Ebene umgesetzt. Die technische Verantwortung liegt bei Lars Wittmann (RSG), die Implementierung erfolgt durch die zustaendigen Entwicklungsteams in Heilbronn (REG) und Muenchen (RSG).</w:t>
      </w:r>
    </w:p>
    <w:p>
      <w:pPr>
        <w:pStyle w:val="Heading3"/>
      </w:pPr>
      <w:r>
        <w:t>3. Begruendung</w:t>
      </w:r>
    </w:p>
    <w:p>
      <w:r>
        <w:t>Die Aenderung ist erforderlich, um die mit den OEM-Kunden (BMW, Mercedes) abgestimmten Anforderungen zu erfuellen sowie um identifizierte Field-Issues und/oder regulatorische Vorgaben abzudecken. Die technischen Themen umfassen: Linux Yocto, Android Automotive, OTA-Updates. Eine Nichtumsetzung wuerde zu Vertragsabweichungen und ggf. Reklamationen fuehren. Die Aenderung ist ferner Voraussetzung fuer die Freigabe der naechsten Software-Release (SW-R-2023.2).</w:t>
      </w:r>
    </w:p>
    <w:p>
      <w:pPr>
        <w:pStyle w:val="Heading3"/>
      </w:pPr>
      <w:r>
        <w:t>4. Auswirkungen (Impact-Analyse)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Bewertung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Funktionssicherheit (ISO 26262)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ASIL-D-Konformitaet bleibt erhalten</w:t>
            </w:r>
          </w:p>
        </w:tc>
      </w:tr>
      <w:tr>
        <w:tc>
          <w:tcPr>
            <w:tcW w:type="dxa" w:w="2880"/>
          </w:tcPr>
          <w:p>
            <w:r>
              <w:t>Cybersecurity (ISO/SAE 21434)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Keine Aenderung der Threat-Modell-Grundlage</w:t>
            </w:r>
          </w:p>
        </w:tc>
      </w:tr>
      <w:tr>
        <w:tc>
          <w:tcPr>
            <w:tcW w:type="dxa" w:w="2880"/>
          </w:tcPr>
          <w:p>
            <w:r>
              <w:t>EMV (LV124, CISPR 25)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Re-Test EMV erforderlich</w:t>
            </w:r>
          </w:p>
        </w:tc>
      </w:tr>
      <w:tr>
        <w:tc>
          <w:tcPr>
            <w:tcW w:type="dxa" w:w="2880"/>
          </w:tcPr>
          <w:p>
            <w:r>
              <w:t>Klima-/Mechanikvalidierung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Keine HW-Aenderung</w:t>
            </w:r>
          </w:p>
        </w:tc>
      </w:tr>
      <w:tr>
        <w:tc>
          <w:tcPr>
            <w:tcW w:type="dxa" w:w="2880"/>
          </w:tcPr>
          <w:p>
            <w:r>
              <w:t>Produktion / EOL-Test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EOL-Skript-Update erforderlich</w:t>
            </w:r>
          </w:p>
        </w:tc>
      </w:tr>
      <w:tr>
        <w:tc>
          <w:tcPr>
            <w:tcW w:type="dxa" w:w="2880"/>
          </w:tcPr>
          <w:p>
            <w:r>
              <w:t>Kostenwirkung (Stueck)</w:t>
            </w:r>
          </w:p>
        </w:tc>
        <w:tc>
          <w:tcPr>
            <w:tcW w:type="dxa" w:w="2880"/>
          </w:tcPr>
          <w:p>
            <w:r>
              <w:t>± 0,12 EUR</w:t>
            </w:r>
          </w:p>
        </w:tc>
        <w:tc>
          <w:tcPr>
            <w:tcW w:type="dxa" w:w="2880"/>
          </w:tcPr>
          <w:p>
            <w:r>
              <w:t>Vernachlaessigbar</w:t>
            </w:r>
          </w:p>
        </w:tc>
      </w:tr>
      <w:tr>
        <w:tc>
          <w:tcPr>
            <w:tcW w:type="dxa" w:w="2880"/>
          </w:tcPr>
          <w:p>
            <w:r>
              <w:t>PPAP-Relevanz</w:t>
            </w:r>
          </w:p>
        </w:tc>
        <w:tc>
          <w:tcPr>
            <w:tcW w:type="dxa" w:w="2880"/>
          </w:tcPr>
          <w:p>
            <w:r>
              <w:t>JA</w:t>
            </w:r>
          </w:p>
        </w:tc>
        <w:tc>
          <w:tcPr>
            <w:tcW w:type="dxa" w:w="2880"/>
          </w:tcPr>
          <w:p>
            <w:r>
              <w:t>Bei Major Change PPAP-Update erforderlich</w:t>
            </w:r>
          </w:p>
        </w:tc>
      </w:tr>
      <w:tr>
        <w:tc>
          <w:tcPr>
            <w:tcW w:type="dxa" w:w="2880"/>
          </w:tcPr>
          <w:p>
            <w:r>
              <w:t>Zeitplan</w:t>
            </w:r>
          </w:p>
        </w:tc>
        <w:tc>
          <w:tcPr>
            <w:tcW w:type="dxa" w:w="2880"/>
          </w:tcPr>
          <w:p>
            <w:r>
              <w:t>8 Wochen</w:t>
            </w:r>
          </w:p>
        </w:tc>
        <w:tc>
          <w:tcPr>
            <w:tcW w:type="dxa" w:w="2880"/>
          </w:tcPr>
          <w:p>
            <w:r>
              <w:t>Implementierung bis Q4</w:t>
            </w:r>
          </w:p>
        </w:tc>
      </w:tr>
    </w:tbl>
    <w:p>
      <w:pPr>
        <w:pStyle w:val="Heading3"/>
      </w:pPr>
      <w:r>
        <w:t>5. Umsetzungsplan</w:t>
      </w:r>
    </w:p>
    <w:p>
      <w:pPr>
        <w:pStyle w:val="ListBullet"/>
      </w:pPr>
      <w:r>
        <w:t>Woche 1-2: Detail-Spezifikation und Lastenheft-Update</w:t>
      </w:r>
    </w:p>
    <w:p>
      <w:pPr>
        <w:pStyle w:val="ListBullet"/>
      </w:pPr>
      <w:r>
        <w:t>Woche 3-5: Implementierung Software / ggf. HW-Aenderung</w:t>
      </w:r>
    </w:p>
    <w:p>
      <w:pPr>
        <w:pStyle w:val="ListBullet"/>
      </w:pPr>
      <w:r>
        <w:t>Woche 6: Modul-/Integrationstest</w:t>
      </w:r>
    </w:p>
    <w:p>
      <w:pPr>
        <w:pStyle w:val="ListBullet"/>
      </w:pPr>
      <w:r>
        <w:t>Woche 7: Systemtest + Validierung (EMV, Klima sofern betroffen)</w:t>
      </w:r>
    </w:p>
    <w:p>
      <w:pPr>
        <w:pStyle w:val="ListBullet"/>
      </w:pPr>
      <w:r>
        <w:t>Woche 8: Freigabe durch CCB, Roll-out via SW-OTA / Werks-Update</w:t>
      </w:r>
    </w:p>
    <w:p>
      <w:pPr>
        <w:pStyle w:val="Heading3"/>
      </w:pPr>
      <w:r>
        <w:t>6. Genehmigungen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Funktion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Datum</w:t>
            </w:r>
          </w:p>
        </w:tc>
      </w:tr>
      <w:tr>
        <w:tc>
          <w:tcPr>
            <w:tcW w:type="dxa" w:w="2160"/>
          </w:tcPr>
          <w:p>
            <w:r>
              <w:t>Engineering Lead</w:t>
            </w:r>
          </w:p>
        </w:tc>
        <w:tc>
          <w:tcPr>
            <w:tcW w:type="dxa" w:w="2160"/>
          </w:tcPr>
          <w:p>
            <w:r>
              <w:t>Lars Wittmann (RSG)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Quality (Q)</w:t>
            </w:r>
          </w:p>
        </w:tc>
        <w:tc>
          <w:tcPr>
            <w:tcW w:type="dxa" w:w="2160"/>
          </w:tcPr>
          <w:p>
            <w:r>
              <w:t>Sabine Brand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Functional Safety</w:t>
            </w:r>
          </w:p>
        </w:tc>
        <w:tc>
          <w:tcPr>
            <w:tcW w:type="dxa" w:w="2160"/>
          </w:tcPr>
          <w:p>
            <w:r>
              <w:t>Dr. Klaus Kessler (RSG)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Andreas Maier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Procurement</w:t>
            </w:r>
          </w:p>
        </w:tc>
        <w:tc>
          <w:tcPr>
            <w:tcW w:type="dxa" w:w="2160"/>
          </w:tcPr>
          <w:p>
            <w:r>
              <w:t>Anette Schmidt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Customer Mgmt</w:t>
            </w:r>
          </w:p>
        </w:tc>
        <w:tc>
          <w:tcPr>
            <w:tcW w:type="dxa" w:w="2160"/>
          </w:tcPr>
          <w:p>
            <w:r>
              <w:t>Stefan Richter (CMO/BD)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23.06.2023</w:t>
            </w:r>
          </w:p>
        </w:tc>
      </w:tr>
    </w:tbl>
    <w:p>
      <w:pPr>
        <w:pStyle w:val="Heading3"/>
      </w:pPr>
      <w:r>
        <w:t>7. Kundeninformation</w:t>
      </w:r>
    </w:p>
    <w:p>
      <w:r>
        <w:t>Die betroffenen OEM-Kunden (BMW, Mercedes) werden ueber die Aenderung mittels Customer Change Request (CCR) Nr. CCR-ICP-3-015-2023 informiert. Die Freigabe durch die OEM-Kunden wird bis Ende Q3 2023 erwartet.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