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ADAS-Vision 4D Radar-Fusion-Steuergeraet (Kunde Mercedes-Benz Group AG)</w:t>
      </w:r>
    </w:p>
    <w:p>
      <w:pPr>
        <w:jc w:val="center"/>
      </w:pPr>
      <w:r>
        <w:t>FTO-Analyse zur Lieferung Produkt ADAS-V4D an Mercedes-Benz Group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ADAS-Vision 4D Radar-Fusion-Steuergeraet (ADAS-V4D) an den OEM-Kunden Mercedes-Benz Group AG. Im Rahmen der Analyse wurden insgesamt 247 relevante Patentfamilien in den Jurisdiktionen DE, EP, US, CN und JP recherchiert. Im Ergebnis wird das Freedom-to-Operate-Risiko fuer das Produkt ADAS-V4D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ADAS-V4D fuer Lieferung an Mercedes-Benz Group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Sensor-Fusion, ML-Modelle, ISO 26262 ASIL-D,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ADAS-V4D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ADAS-V4D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Mercedes-Benz Group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