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BatteryMS-12 Batteriemanagementsystem (Kunde BMW Group)</w:t>
      </w:r>
    </w:p>
    <w:p>
      <w:pPr>
        <w:jc w:val="center"/>
      </w:pPr>
      <w:r>
        <w:t>FTO-Analyse zur Lieferung Produkt BMS-12 an BMW Group,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BatteryMS-12 Batteriemanagementsystem (BMS-12) an den OEM-Kunden BMW Group. Im Rahmen der Analyse wurden insgesamt 247 relevante Patentfamilien in den Jurisdiktionen DE, EP, US, CN und JP recherchiert. Im Ergebnis wird das Freedom-to-Operate-Risiko fuer das Produkt BMS-12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BMS-12 fuer Lieferung an BMW Group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Cell-Supervisor, Balancing, Thermomanagement,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BMS-12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BMS-12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BMW Group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