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Powertrain-ECU Gen3 (Kunde BMW Group)</w:t>
      </w:r>
    </w:p>
    <w:p>
      <w:pPr>
        <w:jc w:val="center"/>
      </w:pPr>
      <w:r>
        <w:t>FTO-Analyse zur Lieferung Produkt ECU-900 an BMW Group,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Powertrain-ECU Gen3 (ECU-900) an den OEM-Kunden BMW Group. Im Rahmen der Analyse wurden insgesamt 247 relevante Patentfamilien in den Jurisdiktionen DE, EP, US, CN und JP recherchiert. Im Ergebnis wird das Freedom-to-Operate-Risiko fuer das Produkt ECU-900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ECU-900 fuer Lieferung an BMW Group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Aurix TC397, AUTOSAR 4.3, OBD/UDS,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ECU-900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ECU-900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BMW Group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