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Freedom-to-Operate Analyse – Powertrain-ECU Gen3 (Kunde Mercedes-Benz Group AG)</w:t>
      </w:r>
    </w:p>
    <w:p>
      <w:pPr>
        <w:jc w:val="center"/>
      </w:pPr>
      <w:r>
        <w:t>FTO-Analyse zur Lieferung Produkt ECU-900 an Mercedes-Benz Group AG, Stand 2023</w:t>
      </w:r>
    </w:p>
    <w:p/>
    <w:p>
      <w:pPr>
        <w:pStyle w:val="Heading3"/>
      </w:pPr>
      <w:r>
        <w:t>1. Zusammenfassung (Executive Summary)</w:t>
      </w:r>
    </w:p>
    <w:p>
      <w:r>
        <w:t>Die vorliegende FTO-Analyse untersucht die patentrechtliche Risikolage bei der Lieferung des Produkts Powertrain-ECU Gen3 (ECU-900) an den OEM-Kunden Mercedes-Benz Group AG. Im Rahmen der Analyse wurden insgesamt 247 relevante Patentfamilien in den Jurisdiktionen DE, EP, US, CN und JP recherchiert. Im Ergebnis wird das Freedom-to-Operate-Risiko fuer das Produkt ECU-900 als GERING bis MITTEL eingestuft (Ampel: GELB).</w:t>
      </w:r>
    </w:p>
    <w:p>
      <w:pPr>
        <w:pStyle w:val="Heading3"/>
      </w:pPr>
      <w:r>
        <w:t>2. Auftragsdaten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Auftraggeber intern</w:t>
            </w:r>
          </w:p>
        </w:tc>
        <w:tc>
          <w:tcPr>
            <w:tcW w:type="dxa" w:w="4320"/>
          </w:tcPr>
          <w:p>
            <w:r>
              <w:t>Stefan Richter (CMO/BD), Dr. Petra Hollmann (CTO)</w:t>
            </w:r>
          </w:p>
        </w:tc>
      </w:tr>
      <w:tr>
        <w:tc>
          <w:tcPr>
            <w:tcW w:type="dxa" w:w="4320"/>
          </w:tcPr>
          <w:p>
            <w:r>
              <w:t>Auftragsdatum</w:t>
            </w:r>
          </w:p>
        </w:tc>
        <w:tc>
          <w:tcPr>
            <w:tcW w:type="dxa" w:w="4320"/>
          </w:tcPr>
          <w:p>
            <w:r>
              <w:t>08. Januar 2023</w:t>
            </w:r>
          </w:p>
        </w:tc>
      </w:tr>
      <w:tr>
        <w:tc>
          <w:tcPr>
            <w:tcW w:type="dxa" w:w="4320"/>
          </w:tcPr>
          <w:p>
            <w:r>
              <w:t>Externer Berater</w:t>
            </w:r>
          </w:p>
        </w:tc>
        <w:tc>
          <w:tcPr>
            <w:tcW w:type="dxa" w:w="4320"/>
          </w:tcPr>
          <w:p>
            <w:r>
              <w:t>Maiwald Patentanwaelte, Dr. Reinkemeier</w:t>
            </w:r>
          </w:p>
        </w:tc>
      </w:tr>
      <w:tr>
        <w:tc>
          <w:tcPr>
            <w:tcW w:type="dxa" w:w="4320"/>
          </w:tcPr>
          <w:p>
            <w:r>
              <w:t>FTO-Scope</w:t>
            </w:r>
          </w:p>
        </w:tc>
        <w:tc>
          <w:tcPr>
            <w:tcW w:type="dxa" w:w="4320"/>
          </w:tcPr>
          <w:p>
            <w:r>
              <w:t>Produkt ECU-900 fuer Lieferung an Mercedes-Benz Group AG</w:t>
            </w:r>
          </w:p>
        </w:tc>
      </w:tr>
      <w:tr>
        <w:tc>
          <w:tcPr>
            <w:tcW w:type="dxa" w:w="4320"/>
          </w:tcPr>
          <w:p>
            <w:r>
              <w:t>Jurisdiktionen</w:t>
            </w:r>
          </w:p>
        </w:tc>
        <w:tc>
          <w:tcPr>
            <w:tcW w:type="dxa" w:w="4320"/>
          </w:tcPr>
          <w:p>
            <w:r>
              <w:t>DE / EP / US / CN / JP</w:t>
            </w:r>
          </w:p>
        </w:tc>
      </w:tr>
      <w:tr>
        <w:tc>
          <w:tcPr>
            <w:tcW w:type="dxa" w:w="4320"/>
          </w:tcPr>
          <w:p>
            <w:r>
              <w:t>Recherche-Datenbanken</w:t>
            </w:r>
          </w:p>
        </w:tc>
        <w:tc>
          <w:tcPr>
            <w:tcW w:type="dxa" w:w="4320"/>
          </w:tcPr>
          <w:p>
            <w:r>
              <w:t>PatBase, Espacenet, Derwent, Anaqua</w:t>
            </w:r>
          </w:p>
        </w:tc>
      </w:tr>
      <w:tr>
        <w:tc>
          <w:tcPr>
            <w:tcW w:type="dxa" w:w="4320"/>
          </w:tcPr>
          <w:p>
            <w:r>
              <w:t>Berichts-Stand</w:t>
            </w:r>
          </w:p>
        </w:tc>
        <w:tc>
          <w:tcPr>
            <w:tcW w:type="dxa" w:w="4320"/>
          </w:tcPr>
          <w:p>
            <w:r>
              <w:t>31. Maerz 2023</w:t>
            </w:r>
          </w:p>
        </w:tc>
      </w:tr>
    </w:tbl>
    <w:p>
      <w:pPr>
        <w:pStyle w:val="Heading3"/>
      </w:pPr>
      <w:r>
        <w:t>3. Methodik der Recherche</w:t>
      </w:r>
    </w:p>
    <w:p>
      <w:r>
        <w:t>Die FTO-Analyse erfolgte in vier Stufen: (1) Patentlandschafts-recherche im technologischen Umfeld Aurix TC397, AUTOSAR 4.3, OBD/UDS, (2) Konkurrenten-Patent-Mapping (Continental, Bosch, ZF, Aptiv, Mobileye, Magna, Veoneer), (3) Detail-Analyse der relevanten Patentfamilien gegen die konkrete Produkt-Spezifikation, (4) Risikobewertung und Massnahmenempfehlung. Die Recherche wurde durch Patentanwaltskanzlei Maiwald durchgefuehrt; die Auswertung intern durch das IP-Team der Brennhagen Elektronik AG unter Leitung von Dr. Florian Maier (IP-Manager).</w:t>
      </w:r>
    </w:p>
    <w:p>
      <w:pPr>
        <w:pStyle w:val="Heading3"/>
      </w:pPr>
      <w:r>
        <w:t>4. Identifizierte relevante Patente Dritter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Patent-Nr.</w:t>
            </w:r>
          </w:p>
        </w:tc>
        <w:tc>
          <w:tcPr>
            <w:tcW w:type="dxa" w:w="1728"/>
          </w:tcPr>
          <w:p>
            <w:r>
              <w:t>Inhaber</w:t>
            </w:r>
          </w:p>
        </w:tc>
        <w:tc>
          <w:tcPr>
            <w:tcW w:type="dxa" w:w="1728"/>
          </w:tcPr>
          <w:p>
            <w:r>
              <w:t>Bezug zu ECU-900</w:t>
            </w:r>
          </w:p>
        </w:tc>
        <w:tc>
          <w:tcPr>
            <w:tcW w:type="dxa" w:w="1728"/>
          </w:tcPr>
          <w:p>
            <w:r>
              <w:t>Risiko</w:t>
            </w:r>
          </w:p>
        </w:tc>
        <w:tc>
          <w:tcPr>
            <w:tcW w:type="dxa" w:w="1728"/>
          </w:tcPr>
          <w:p>
            <w:r>
              <w:t>Empfehlung</w:t>
            </w:r>
          </w:p>
        </w:tc>
      </w:tr>
      <w:tr>
        <w:tc>
          <w:tcPr>
            <w:tcW w:type="dxa" w:w="1728"/>
          </w:tcPr>
          <w:p>
            <w:r>
              <w:t>EP 3 421 218 B1</w:t>
            </w:r>
          </w:p>
        </w:tc>
        <w:tc>
          <w:tcPr>
            <w:tcW w:type="dxa" w:w="1728"/>
          </w:tcPr>
          <w:p>
            <w:r>
              <w:t>Continental AG</w:t>
            </w:r>
          </w:p>
        </w:tc>
        <w:tc>
          <w:tcPr>
            <w:tcW w:type="dxa" w:w="1728"/>
          </w:tcPr>
          <w:p>
            <w:r>
              <w:t>Sensor-Fusion ADAS</w:t>
            </w:r>
          </w:p>
        </w:tc>
        <w:tc>
          <w:tcPr>
            <w:tcW w:type="dxa" w:w="1728"/>
          </w:tcPr>
          <w:p>
            <w:r>
              <w:t>GERING</w:t>
            </w:r>
          </w:p>
        </w:tc>
        <w:tc>
          <w:tcPr>
            <w:tcW w:type="dxa" w:w="1728"/>
          </w:tcPr>
          <w:p>
            <w:r>
              <w:t>Eigenes Patent Nr. 02 grenzt sauber ab</w:t>
            </w:r>
          </w:p>
        </w:tc>
      </w:tr>
      <w:tr>
        <w:tc>
          <w:tcPr>
            <w:tcW w:type="dxa" w:w="1728"/>
          </w:tcPr>
          <w:p>
            <w:r>
              <w:t>DE 10 2018 213 547 A1</w:t>
            </w:r>
          </w:p>
        </w:tc>
        <w:tc>
          <w:tcPr>
            <w:tcW w:type="dxa" w:w="1728"/>
          </w:tcPr>
          <w:p>
            <w:r>
              <w:t>ZF Friedrichshafen</w:t>
            </w:r>
          </w:p>
        </w:tc>
        <w:tc>
          <w:tcPr>
            <w:tcW w:type="dxa" w:w="1728"/>
          </w:tcPr>
          <w:p>
            <w:r>
              <w:t>Powertrain-Algorithmik</w:t>
            </w:r>
          </w:p>
        </w:tc>
        <w:tc>
          <w:tcPr>
            <w:tcW w:type="dxa" w:w="1728"/>
          </w:tcPr>
          <w:p>
            <w:r>
              <w:t>GERING</w:t>
            </w:r>
          </w:p>
        </w:tc>
        <w:tc>
          <w:tcPr>
            <w:tcW w:type="dxa" w:w="1728"/>
          </w:tcPr>
          <w:p>
            <w:r>
              <w:t>Nicht relevant fuer ECU-900</w:t>
            </w:r>
          </w:p>
        </w:tc>
      </w:tr>
      <w:tr>
        <w:tc>
          <w:tcPr>
            <w:tcW w:type="dxa" w:w="1728"/>
          </w:tcPr>
          <w:p>
            <w:r>
              <w:t>US 11/234,567 B2</w:t>
            </w:r>
          </w:p>
        </w:tc>
        <w:tc>
          <w:tcPr>
            <w:tcW w:type="dxa" w:w="1728"/>
          </w:tcPr>
          <w:p>
            <w:r>
              <w:t>Aptiv Technologies</w:t>
            </w:r>
          </w:p>
        </w:tc>
        <w:tc>
          <w:tcPr>
            <w:tcW w:type="dxa" w:w="1728"/>
          </w:tcPr>
          <w:p>
            <w:r>
              <w:t>Radar-Architektur</w:t>
            </w:r>
          </w:p>
        </w:tc>
        <w:tc>
          <w:tcPr>
            <w:tcW w:type="dxa" w:w="1728"/>
          </w:tcPr>
          <w:p>
            <w:r>
              <w:t>MITTEL</w:t>
            </w:r>
          </w:p>
        </w:tc>
        <w:tc>
          <w:tcPr>
            <w:tcW w:type="dxa" w:w="1728"/>
          </w:tcPr>
          <w:p>
            <w:r>
              <w:t>Cross-Licensing-Pruefung empfohlen</w:t>
            </w:r>
          </w:p>
        </w:tc>
      </w:tr>
      <w:tr>
        <w:tc>
          <w:tcPr>
            <w:tcW w:type="dxa" w:w="1728"/>
          </w:tcPr>
          <w:p>
            <w:r>
              <w:t>WO 2019/118432 A1</w:t>
            </w:r>
          </w:p>
        </w:tc>
        <w:tc>
          <w:tcPr>
            <w:tcW w:type="dxa" w:w="1728"/>
          </w:tcPr>
          <w:p>
            <w:r>
              <w:t>Mobileye</w:t>
            </w:r>
          </w:p>
        </w:tc>
        <w:tc>
          <w:tcPr>
            <w:tcW w:type="dxa" w:w="1728"/>
          </w:tcPr>
          <w:p>
            <w:r>
              <w:t>Vision-Algorithmus</w:t>
            </w:r>
          </w:p>
        </w:tc>
        <w:tc>
          <w:tcPr>
            <w:tcW w:type="dxa" w:w="1728"/>
          </w:tcPr>
          <w:p>
            <w:r>
              <w:t>MITTEL</w:t>
            </w:r>
          </w:p>
        </w:tc>
        <w:tc>
          <w:tcPr>
            <w:tcW w:type="dxa" w:w="1728"/>
          </w:tcPr>
          <w:p>
            <w:r>
              <w:t>Designaround-Pruefung erforderlich</w:t>
            </w:r>
          </w:p>
        </w:tc>
      </w:tr>
      <w:tr>
        <w:tc>
          <w:tcPr>
            <w:tcW w:type="dxa" w:w="1728"/>
          </w:tcPr>
          <w:p>
            <w:r>
              <w:t>CN 109283456 A</w:t>
            </w:r>
          </w:p>
        </w:tc>
        <w:tc>
          <w:tcPr>
            <w:tcW w:type="dxa" w:w="1728"/>
          </w:tcPr>
          <w:p>
            <w:r>
              <w:t>Huawei Tech.</w:t>
            </w:r>
          </w:p>
        </w:tc>
        <w:tc>
          <w:tcPr>
            <w:tcW w:type="dxa" w:w="1728"/>
          </w:tcPr>
          <w:p>
            <w:r>
              <w:t>5G/V2X-Kommunikation</w:t>
            </w:r>
          </w:p>
        </w:tc>
        <w:tc>
          <w:tcPr>
            <w:tcW w:type="dxa" w:w="1728"/>
          </w:tcPr>
          <w:p>
            <w:r>
              <w:t>GERING</w:t>
            </w:r>
          </w:p>
        </w:tc>
        <w:tc>
          <w:tcPr>
            <w:tcW w:type="dxa" w:w="1728"/>
          </w:tcPr>
          <w:p>
            <w:r>
              <w:t>Nicht im aktuellen Funktionsumfang</w:t>
            </w:r>
          </w:p>
        </w:tc>
      </w:tr>
      <w:tr>
        <w:tc>
          <w:tcPr>
            <w:tcW w:type="dxa" w:w="1728"/>
          </w:tcPr>
          <w:p>
            <w:r>
              <w:t>JP 2020-123456 A</w:t>
            </w:r>
          </w:p>
        </w:tc>
        <w:tc>
          <w:tcPr>
            <w:tcW w:type="dxa" w:w="1728"/>
          </w:tcPr>
          <w:p>
            <w:r>
              <w:t>Denso Corp.</w:t>
            </w:r>
          </w:p>
        </w:tc>
        <w:tc>
          <w:tcPr>
            <w:tcW w:type="dxa" w:w="1728"/>
          </w:tcPr>
          <w:p>
            <w:r>
              <w:t>BMS-Algorithmik</w:t>
            </w:r>
          </w:p>
        </w:tc>
        <w:tc>
          <w:tcPr>
            <w:tcW w:type="dxa" w:w="1728"/>
          </w:tcPr>
          <w:p>
            <w:r>
              <w:t>GERING</w:t>
            </w:r>
          </w:p>
        </w:tc>
        <w:tc>
          <w:tcPr>
            <w:tcW w:type="dxa" w:w="1728"/>
          </w:tcPr>
          <w:p>
            <w:r>
              <w:t>Eigenes Patent Nr. 03 abgrenzbar</w:t>
            </w:r>
          </w:p>
        </w:tc>
      </w:tr>
    </w:tbl>
    <w:p>
      <w:pPr>
        <w:pStyle w:val="Heading3"/>
      </w:pPr>
      <w:r>
        <w:t>5. Risikobewertung und Massnahmen</w:t>
      </w:r>
    </w:p>
    <w:p>
      <w:r>
        <w:t>Im Ergebnis der Detail-Analyse werden folgende Massnahmen empfohlen: (a) Cross-Licensing-Gespraeche mit Aptiv Technologies zum US 11/234,567 B2 (Verantwortlich: Stefan Richter / Dr. Hollmann), (b) Designaround-Pruefung des Mobileye-Vision-Algorithmus durch RSG Muenchen (Dr. Brodbeck), (c) vorsorgliche Anmeldung eigener Defensiv-Patente in den identifizierten Luecken, (d) Aufnahme der Themen in die halbjaehrliche Patent-Strategie-Sitzung des IP-Komitees.</w:t>
      </w:r>
    </w:p>
    <w:p>
      <w:pPr>
        <w:pStyle w:val="Heading3"/>
      </w:pPr>
      <w:r>
        <w:t>6. Vertraulichkeit und Haftung</w:t>
      </w:r>
    </w:p>
    <w:p>
      <w:r>
        <w:t>Diese FTO-Analyse ist streng vertraulich (Klassifizierung: VERTRAULICH / CONFIDENTIAL) und ausschliesslich fuer den internen Gebrauch der Brennhagen Elektronik AG sowie ihrer Patentanwaltskanzleien bestimmt. Eine Weitergabe an Dritte – insbesondere an Mercedes-Benz Group AG – bedarf der ausdruecklichen Genehmigung des Vorstands (CEO / CTO). Die Analyse stellt keine endgueltige Rechtsberatung dar; die Verantwortung fuer die kommerzielle Umsetzung verbleibt bei der Brennhagen Elektronik AG.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