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02 – Kamerasystem mit 4D-Radarfusion zur Objekt-Klassifikation in ADAS-Anwendungen</w:t>
      </w:r>
    </w:p>
    <w:p>
      <w:pPr>
        <w:jc w:val="center"/>
      </w:pPr>
      <w:r>
        <w:t>Aktenzeichen EP 10242274.5, IPC-Klasse G01S 13/86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10242274.5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2023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Stefan Brodbeck (RSG); Prof. Dr. Martin Lindenmann (TUM, Mit-Erfinder)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G01S 13/86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kamerasystem mit 4d-radarfusion zur objekt-klassifikation in adas-anwendungen. Stand der Technik im Bereich sensor-fusion 4d-radar (77 ghz) + mono-/stereo-kamera, ml-klassifikator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ADAS-V4D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4D-Radarfusion-Kamerasystem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Sensor-Fusion 4D-Radar (77 GHz) + Mono-/Stereo-Kamera, ML-Klassifikator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ADAS-V4D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ADAS-V4D)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ADAS-V4D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