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Jahresgebuehr-Quittung Patent Nr. 03</w:t>
      </w:r>
    </w:p>
    <w:p>
      <w:pPr>
        <w:jc w:val="center"/>
      </w:pPr>
      <w:r>
        <w:t>Patent Praediktives BMS mit ML – Aktenzeichen EP 10243411.6, Patentjahr 1</w:t>
      </w:r>
    </w:p>
    <w:p/>
    <w:p>
      <w:pPr>
        <w:pStyle w:val="Heading3"/>
      </w:pPr>
      <w:r>
        <w:t>1. Verfahrensdaten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Patentinhaber</w:t>
            </w:r>
          </w:p>
        </w:tc>
        <w:tc>
          <w:tcPr>
            <w:tcW w:type="dxa" w:w="4320"/>
          </w:tcPr>
          <w:p>
            <w:r>
              <w:t>Brennhagen Elektronik AG</w:t>
            </w:r>
          </w:p>
        </w:tc>
      </w:tr>
      <w:tr>
        <w:tc>
          <w:tcPr>
            <w:tcW w:type="dxa" w:w="4320"/>
          </w:tcPr>
          <w:p>
            <w:r>
              <w:t>Aktenzeichen EPA</w:t>
            </w:r>
          </w:p>
        </w:tc>
        <w:tc>
          <w:tcPr>
            <w:tcW w:type="dxa" w:w="4320"/>
          </w:tcPr>
          <w:p>
            <w:r>
              <w:t>EP 10243411.6</w:t>
            </w:r>
          </w:p>
        </w:tc>
      </w:tr>
      <w:tr>
        <w:tc>
          <w:tcPr>
            <w:tcW w:type="dxa" w:w="4320"/>
          </w:tcPr>
          <w:p>
            <w:r>
              <w:t>Bezeichnung</w:t>
            </w:r>
          </w:p>
        </w:tc>
        <w:tc>
          <w:tcPr>
            <w:tcW w:type="dxa" w:w="4320"/>
          </w:tcPr>
          <w:p>
            <w:r>
              <w:t>Batteriemanagementsystem mit praediktivem State-of-Health-Modell auf Basis neuronaler Netze</w:t>
            </w:r>
          </w:p>
        </w:tc>
      </w:tr>
      <w:tr>
        <w:tc>
          <w:tcPr>
            <w:tcW w:type="dxa" w:w="4320"/>
          </w:tcPr>
          <w:p>
            <w:r>
              <w:t>Patentjahr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Faelligkeitsdatum</w:t>
            </w:r>
          </w:p>
        </w:tc>
        <w:tc>
          <w:tcPr>
            <w:tcW w:type="dxa" w:w="4320"/>
          </w:tcPr>
          <w:p>
            <w:r>
              <w:t>15. Maerz 2023</w:t>
            </w:r>
          </w:p>
        </w:tc>
      </w:tr>
      <w:tr>
        <w:tc>
          <w:tcPr>
            <w:tcW w:type="dxa" w:w="4320"/>
          </w:tcPr>
          <w:p>
            <w:r>
              <w:t>Zahlungseingang</w:t>
            </w:r>
          </w:p>
        </w:tc>
        <w:tc>
          <w:tcPr>
            <w:tcW w:type="dxa" w:w="4320"/>
          </w:tcPr>
          <w:p>
            <w:r>
              <w:t>03. Maerz 2023</w:t>
            </w:r>
          </w:p>
        </w:tc>
      </w:tr>
      <w:tr>
        <w:tc>
          <w:tcPr>
            <w:tcW w:type="dxa" w:w="4320"/>
          </w:tcPr>
          <w:p>
            <w:r>
              <w:t>Vertreter</w:t>
            </w:r>
          </w:p>
        </w:tc>
        <w:tc>
          <w:tcPr>
            <w:tcW w:type="dxa" w:w="4320"/>
          </w:tcPr>
          <w:p>
            <w:r>
              <w:t>Maiwald Patentanwaelte (Dr. Dipl.-Ing. Hartmut Reinkemeier)</w:t>
            </w:r>
          </w:p>
        </w:tc>
      </w:tr>
      <w:tr>
        <w:tc>
          <w:tcPr>
            <w:tcW w:type="dxa" w:w="4320"/>
          </w:tcPr>
          <w:p>
            <w:r>
              <w:t>IPMS-Vorgang</w:t>
            </w:r>
          </w:p>
        </w:tc>
        <w:tc>
          <w:tcPr>
            <w:tcW w:type="dxa" w:w="4320"/>
          </w:tcPr>
          <w:p>
            <w:r>
              <w:t>ANAQUA-30051-2023</w:t>
            </w:r>
          </w:p>
        </w:tc>
      </w:tr>
    </w:tbl>
    <w:p>
      <w:pPr>
        <w:pStyle w:val="Heading3"/>
      </w:pPr>
      <w:r>
        <w:t>2. Aufstellung der entrichteten Jahresgebuehren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Jurisdiktion</w:t>
            </w:r>
          </w:p>
        </w:tc>
        <w:tc>
          <w:tcPr>
            <w:tcW w:type="dxa" w:w="1728"/>
          </w:tcPr>
          <w:p>
            <w:r>
              <w:t>Patentjahr</w:t>
            </w:r>
          </w:p>
        </w:tc>
        <w:tc>
          <w:tcPr>
            <w:tcW w:type="dxa" w:w="1728"/>
          </w:tcPr>
          <w:p>
            <w:r>
              <w:t>Gebuehr (EUR)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Zahlungs-Ref.</w:t>
            </w:r>
          </w:p>
        </w:tc>
      </w:tr>
      <w:tr>
        <w:tc>
          <w:tcPr>
            <w:tcW w:type="dxa" w:w="1728"/>
          </w:tcPr>
          <w:p>
            <w:r>
              <w:t>Deutschland (DPMA)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125.00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DPMA-40033-2023</w:t>
            </w:r>
          </w:p>
        </w:tc>
      </w:tr>
      <w:tr>
        <w:tc>
          <w:tcPr>
            <w:tcW w:type="dxa" w:w="1728"/>
          </w:tcPr>
          <w:p>
            <w:r>
              <w:t>Europaeisches Patent (EPA)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565.00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EPA-50039-2023</w:t>
            </w:r>
          </w:p>
        </w:tc>
      </w:tr>
      <w:tr>
        <w:tc>
          <w:tcPr>
            <w:tcW w:type="dxa" w:w="1728"/>
          </w:tcPr>
          <w:p>
            <w:r>
              <w:t>USA (USPTO)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480.25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USPTO-60021-2023</w:t>
            </w:r>
          </w:p>
        </w:tc>
      </w:tr>
      <w:tr>
        <w:tc>
          <w:tcPr>
            <w:tcW w:type="dxa" w:w="1728"/>
          </w:tcPr>
          <w:p>
            <w:r>
              <w:t>China (CNIPA)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310.75</w:t>
            </w:r>
          </w:p>
        </w:tc>
        <w:tc>
          <w:tcPr>
            <w:tcW w:type="dxa" w:w="1728"/>
          </w:tcPr>
          <w:p>
            <w:r>
              <w:t>bezahlt</w:t>
            </w:r>
          </w:p>
        </w:tc>
        <w:tc>
          <w:tcPr>
            <w:tcW w:type="dxa" w:w="1728"/>
          </w:tcPr>
          <w:p>
            <w:r>
              <w:t>CNIPA-70057-2023</w:t>
            </w:r>
          </w:p>
        </w:tc>
      </w:tr>
    </w:tbl>
    <w:p>
      <w:pPr>
        <w:pStyle w:val="Heading3"/>
      </w:pPr>
      <w:r>
        <w:t>3. Gesamtaufwand fuer das Patentjahr</w:t>
      </w:r>
    </w:p>
    <w:p>
      <w:r>
        <w:t>Die Gesamtaufwendung fuer das Patentjahr 1 der Schutzrechte zur Erfindung »Batteriemanagementsystem mit praediktivem State-of-Health-Modell auf Basis neuronaler Netze« belaeuft sich auf 1481.00 EUR (Summe aller Jurisdiktionen DE/EP/US/CN). Anwaltsgebueren in Hoehe von 850,00 EUR (Pauschale Maiwald Patentanwaelte) wurden separat in Rechnung gestellt. Die Buchung erfolgt auf Kostenstelle 5910 (IP-Verwaltung), Sachkonto 6815 (Schutzrechtsgebueren).</w:t>
      </w:r>
    </w:p>
    <w:p>
      <w:pPr>
        <w:pStyle w:val="Heading3"/>
      </w:pPr>
      <w:r>
        <w:t>4. Empfehlung der IP-Abteilung</w:t>
      </w:r>
    </w:p>
    <w:p>
      <w:r>
        <w:t>Die IP-Abteilung empfiehlt, das Patent Nr. 03 (Praediktives BMS mit ML) weiterhin in allen Jurisdiktionen aufrechtzuerhalten. Das Patent ist fuer das Produkt BMS-12 strategisch relevant; eine Aufgabe wird nicht empfohlen. Der naechste Review erfolgt im Rahmen der jaehrlichen Patentportfolio-Sitzung (Q4 2023). Verantwortlich: Dr. Dipl.-Ing. Florian Maier (IP-Manager).</w:t>
      </w:r>
    </w:p>
    <w:p>
      <w:pPr>
        <w:pStyle w:val="Heading3"/>
      </w:pPr>
      <w:r>
        <w:t>5. Zahlungsbestaetigung</w:t>
      </w:r>
    </w:p>
    <w:p>
      <w:r>
        <w:t>Die Jahresgebuehren wurden fristgerecht und ohne Aufschlag entrichtet. Die entsprechenden Zahlungsquittungen liegen elektronisch im IPMS (Anaqua) sowie in der Akte Maiwald Patentanwaelte vor. Verbuchung erfolgte am 2023-03-05 durch Florian Maier (Group Controller). Eine Kopie dieser Bestaetigung wurde an Group Treasury (Markus Pflanzer) sowie an die Wirtschaftspruefer (KPMG, Dr. Maximilian Brand) im Rahmen der Pruefung 2023 verteilt.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