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05</w:t>
      </w:r>
    </w:p>
    <w:p>
      <w:pPr>
        <w:jc w:val="center"/>
      </w:pPr>
      <w:r>
        <w:t>EPA-Pruefbescheid gemaess Art. 94(3) EPUe, Aktenzeichen EP 10241685.8</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10241685.8</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Boehmert &amp; Boehmert, Dr. Stefan Rueber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2021</w:t>
            </w:r>
          </w:p>
        </w:tc>
      </w:tr>
      <w:tr>
        <w:tc>
          <w:tcPr>
            <w:tcW w:type="dxa" w:w="4320"/>
          </w:tcPr>
          <w:p>
            <w:r>
              <w:t>Frist zur Stellungnahme</w:t>
            </w:r>
          </w:p>
        </w:tc>
        <w:tc>
          <w:tcPr>
            <w:tcW w:type="dxa" w:w="4320"/>
          </w:tcPr>
          <w:p>
            <w:r>
              <w:t>4 Monate, d.h. bis 14. Oktober 2021</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05 (EMV-Unterdrueckung Matrix-LED)</w:t>
            </w:r>
          </w:p>
        </w:tc>
      </w:tr>
    </w:tbl>
    <w:p>
      <w:pPr>
        <w:pStyle w:val="Heading3"/>
      </w:pPr>
      <w:r>
        <w:t>2. Pruefungssachstand</w:t>
      </w:r>
    </w:p>
    <w:p>
      <w:r>
        <w:t>Das Europaeische Patentamt hat die Anmeldung mit dem Aktenzeichen EP 10241685.8 (Erfindung: »Verfahren zur EMV-Unterdrueckung bei pixelgenauer Ansteuerung von Matrix-LED-Modulen«)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2021)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Boehmert &amp; Boehmert (Dr. Stefan Rueber)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