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05</w:t>
      </w:r>
    </w:p>
    <w:p>
      <w:pPr>
        <w:jc w:val="center"/>
      </w:pPr>
      <w:r>
        <w:t>Patent EMV-Unterdrueckung Matrix-LED – Aktenzeichen EP 10241685.8,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10241685.8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Verfahren zur EMV-Unterdrueckung bei pixelgenauer Ansteuerung von Matrix-LED-Modulen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2021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2021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Boehmert &amp; Boehmert (Dr. Stefan Rueber)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ANAQUA-30085-2021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DPMA-40055-2021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EPA-50065-2021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USPTO-60035-2021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CNIPA-70095-2021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»Verfahren zur EMV-Unterdrueckung bei pixelgenauer Ansteuerung von Matrix-LED-Modulen« belaeuft sich auf 1481.00 EUR (Summe aller Jurisdiktionen DE/EP/US/CN). Anwaltsgebueren in Hoehe von 850,00 EUR (Pauschale Boehmert &amp; Boehmert)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05 (EMV-Unterdrueckung Matrix-LED) weiterhin in allen Jurisdiktionen aufrechtzuerhalten. Das Patent ist fuer das Produkt LightCtrl-7 strategisch relevant; eine Aufgabe wird nicht empfohlen. Der naechste Review erfolgt im Rahmen der jaehrlichen Patentportfolio-Sitzung (Q4 2021).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Boehmert &amp; Boehmert vor. Verbuchung erfolgte am 2021-03-05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