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05 – Verfahren zur EMV-Unterdrueckung bei pixelgenauer Ansteuerung von Matrix-LED-Modulen</w:t>
      </w:r>
    </w:p>
    <w:p>
      <w:pPr>
        <w:jc w:val="center"/>
      </w:pPr>
      <w:r>
        <w:t>Aktenzeichen EP 10241685.8, IPC-Klasse H05B 45/00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10241685.8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2022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Dipl.-Ing. Thomas Krause (REG); Dr. Klaus Kessler (RSG)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H05B 45/00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LightCtrl-7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verfahren zur emv-unterdrueckung bei pixelgenauer ansteuerung von matrix-led-modulen. Stand der Technik im Bereich emv-filterung in pwm-pixelansteuerung, spreizspektrum-modulation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LightCtrl-7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EMV-Unterdrueckung Matrix-LED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EMV-Filterung in PWM-Pixelansteuerung, Spreizspektrum-Modulation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LightCtrl-7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LightCtrl-7)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Boehmert &amp; Boehmert (Dr. Stefan Rueber)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LightCtrl-7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