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Patentschrift Nr. 07 – OTA-Updateverfahren fuer Automotive-ECUs mit fehlertoleranter Dual-Bank-Architektur</w:t>
      </w:r>
    </w:p>
    <w:p>
      <w:pPr>
        <w:jc w:val="center"/>
      </w:pPr>
      <w:r>
        <w:t>Aktenzeichen EP 10243959.3, IPC-Klasse G06F 8/65</w:t>
      </w:r>
    </w:p>
    <w:p/>
    <w:p>
      <w:pPr>
        <w:pStyle w:val="Heading3"/>
      </w:pPr>
      <w:r>
        <w:t>1. Bibliographische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Aktenzeichen (EP)</w:t>
            </w:r>
          </w:p>
        </w:tc>
        <w:tc>
          <w:tcPr>
            <w:tcW w:type="dxa" w:w="4320"/>
          </w:tcPr>
          <w:p>
            <w:r>
              <w:t>EP 10243959.3</w:t>
            </w:r>
          </w:p>
        </w:tc>
      </w:tr>
      <w:tr>
        <w:tc>
          <w:tcPr>
            <w:tcW w:type="dxa" w:w="4320"/>
          </w:tcPr>
          <w:p>
            <w:r>
              <w:t>Anmeldedatum</w:t>
            </w:r>
          </w:p>
        </w:tc>
        <w:tc>
          <w:tcPr>
            <w:tcW w:type="dxa" w:w="4320"/>
          </w:tcPr>
          <w:p>
            <w:r>
              <w:t>15. Maerz 2023</w:t>
            </w:r>
          </w:p>
        </w:tc>
      </w:tr>
      <w:tr>
        <w:tc>
          <w:tcPr>
            <w:tcW w:type="dxa" w:w="4320"/>
          </w:tcPr>
          <w:p>
            <w:r>
              <w:t>Veroeffentlichungstag</w:t>
            </w:r>
          </w:p>
        </w:tc>
        <w:tc>
          <w:tcPr>
            <w:tcW w:type="dxa" w:w="4320"/>
          </w:tcPr>
          <w:p>
            <w:r>
              <w:t>22. September 2024</w:t>
            </w:r>
          </w:p>
        </w:tc>
      </w:tr>
      <w:tr>
        <w:tc>
          <w:tcPr>
            <w:tcW w:type="dxa" w:w="4320"/>
          </w:tcPr>
          <w:p>
            <w:r>
              <w:t>Anmelder</w:t>
            </w:r>
          </w:p>
        </w:tc>
        <w:tc>
          <w:tcPr>
            <w:tcW w:type="dxa" w:w="4320"/>
          </w:tcPr>
          <w:p>
            <w:r>
              <w:t>Brennhagen Elektronik AG, Vaihinger Strasse 120, 70567 Stuttgart</w:t>
            </w:r>
          </w:p>
        </w:tc>
      </w:tr>
      <w:tr>
        <w:tc>
          <w:tcPr>
            <w:tcW w:type="dxa" w:w="4320"/>
          </w:tcPr>
          <w:p>
            <w:r>
              <w:t>Erfinder</w:t>
            </w:r>
          </w:p>
        </w:tc>
        <w:tc>
          <w:tcPr>
            <w:tcW w:type="dxa" w:w="4320"/>
          </w:tcPr>
          <w:p>
            <w:r>
              <w:t>Lars Wittmann (RSG); Dr. Klaus Kessler (RSG)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Boehmert &amp; Boehmert (Dr. Stefan Rueber)</w:t>
            </w:r>
          </w:p>
        </w:tc>
      </w:tr>
      <w:tr>
        <w:tc>
          <w:tcPr>
            <w:tcW w:type="dxa" w:w="4320"/>
          </w:tcPr>
          <w:p>
            <w:r>
              <w:t>IPC-Klasse</w:t>
            </w:r>
          </w:p>
        </w:tc>
        <w:tc>
          <w:tcPr>
            <w:tcW w:type="dxa" w:w="4320"/>
          </w:tcPr>
          <w:p>
            <w:r>
              <w:t>G06F 8/65</w:t>
            </w:r>
          </w:p>
        </w:tc>
      </w:tr>
      <w:tr>
        <w:tc>
          <w:tcPr>
            <w:tcW w:type="dxa" w:w="4320"/>
          </w:tcPr>
          <w:p>
            <w:r>
              <w:t>Bestimmungsstaaten</w:t>
            </w:r>
          </w:p>
        </w:tc>
        <w:tc>
          <w:tcPr>
            <w:tcW w:type="dxa" w:w="4320"/>
          </w:tcPr>
          <w:p>
            <w:r>
              <w:t>DE / EP / US / CN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Pruefung</w:t>
            </w:r>
          </w:p>
        </w:tc>
      </w:tr>
    </w:tbl>
    <w:p>
      <w:pPr>
        <w:pStyle w:val="Heading3"/>
      </w:pPr>
      <w:r>
        <w:t>2. Zusammenfassung der Erfindung</w:t>
      </w:r>
    </w:p>
    <w:p>
      <w:r>
        <w:t>Die vorliegende Erfindung betrifft ota-updateverfahren fuer automotive-ecus mit fehlertoleranter dual-bank-architektur. Stand der Technik im Bereich ota software-updates, dual-bank-flash, rollback-mechanismus, signatur-validierung weist insbesondere die Nachteile auf, dass bestehende Loesungen entweder eine unzureichende Skalierbarkeit fuer Automotive-Echtzeitanwendungen zeigen, eine hohe Latenz im Bereich kritischer Funktionspfade aufweisen oder den Anforderungen der Funktionssicherheit gemaess ISO 26262 ASIL-D nicht in vollem Umfang gerecht werden. Die erfindungsgemaesse Loesung zeichnet sich dadurch aus, dass durch eine neuartige Kombination aus Hardware-Architektur und Software-Algorithmik gleichzeitig die Anforderungen an Echtzeitfaehigkeit, Funktionssicherheit (ASIL-D nach ISO 26262) und Cybersecurity (ISO/SAE 21434) erfuellt werden. Hierdurch wird die fuer das Produkt ICP-3 der Brennhagen Elektronik AG typische Performance- und Sicherheitsanforderung erfuellt, ohne dass dies zu erhoehten Stueckkosten oder Bauraumbedarf fuehrt.</w:t>
      </w:r>
    </w:p>
    <w:p>
      <w:pPr>
        <w:pStyle w:val="Heading3"/>
      </w:pPr>
      <w:r>
        <w:t>3. Patentansprueche (Auszug)</w:t>
      </w:r>
    </w:p>
    <w:p>
      <w:pPr>
        <w:pStyle w:val="ListBullet"/>
      </w:pPr>
      <w:r>
        <w:t>Anspruch 1 (Hauptanspruch): OTA-Updateverfahren nach dem in der Beschreibung definierten erfindungsgemaessen Prinzip, dadurch gekennzeichnet, dass eine Kombination der Merkmale a) bis e) verwendet wird, wobei Merkmal a) die spezifische Architektur-Topologie und Merkmal b) das erfindungsgemaesse Steuerungsverfahren umfasst.</w:t>
      </w:r>
    </w:p>
    <w:p>
      <w:pPr>
        <w:pStyle w:val="ListBullet"/>
      </w:pPr>
      <w:r>
        <w:t>Anspruch 2: Vorrichtung nach Anspruch 1, dadurch gekennzeichnet, dass das Steuerungsverfahren auf einem Multicore-Aurix-TC397-Mikrocontroller implementiert ist.</w:t>
      </w:r>
    </w:p>
    <w:p>
      <w:pPr>
        <w:pStyle w:val="ListBullet"/>
      </w:pPr>
      <w:r>
        <w:t>Anspruch 3: Verfahren nach Anspruch 1 oder 2, dadurch gekennzeichnet, dass die Datenuebertragung ueber einen CAN-FD- oder Automotive-Ethernet-Bus erfolgt und ASIL-D-konform plausibilisiert wird.</w:t>
      </w:r>
    </w:p>
    <w:p>
      <w:pPr>
        <w:pStyle w:val="ListBullet"/>
      </w:pPr>
      <w:r>
        <w:t>Anspruch 4: Vorrichtung nach einem der Ansprueche 1 bis 3, dadurch gekennzeichnet, dass eine Cybersecurity-Funktion gemaess ISO/SAE 21434 implementiert ist (HSM-basierte Schluesselverwaltung).</w:t>
      </w:r>
    </w:p>
    <w:p>
      <w:pPr>
        <w:pStyle w:val="ListBullet"/>
      </w:pPr>
      <w:r>
        <w:t>Anspruch 5: Computerprogrammprodukt zur Ausfuehrung des Verfahrens nach einem der Ansprueche 1 bis 4 auf einer Steuerung eines Kraftfahrzeugs.</w:t>
      </w:r>
    </w:p>
    <w:p>
      <w:pPr>
        <w:pStyle w:val="ListBullet"/>
      </w:pPr>
      <w:r>
        <w:t>Anspruch 6: Kraftfahrzeug mit einem Steuergeraet, das eine Vorrichtung nach einem der Ansprueche 1 bis 5 enthaelt.</w:t>
      </w:r>
    </w:p>
    <w:p>
      <w:pPr>
        <w:pStyle w:val="Heading3"/>
      </w:pPr>
      <w:r>
        <w:t>4. Hintergrund / Stand der Technik</w:t>
      </w:r>
    </w:p>
    <w:p>
      <w:r>
        <w:t>Der einschlaegige Stand der Technik im Bereich OTA Software-Updates, Dual-Bank-Flash, Rollback-Mechanismus, Signatur-Validierung ist insbesondere aus den Druckschriften DE 10 2018 213 547 A1, EP 3 421 218 B1 sowie US 2020/0123456 A1 bekannt. Allerdings loesen die dort beschriebenen Ansaetze die hier vorliegende Aufgabenstellung nicht oder nur unzureichend. Insbesondere fehlt eine integrierte Behandlung von Funktionssicherheit (ISO 26262) und Cybersecurity (ISO/SAE 21434), wie sie fuer das Produkt ICP-3 erforderlich ist.</w:t>
      </w:r>
    </w:p>
    <w:p>
      <w:pPr>
        <w:pStyle w:val="Heading3"/>
      </w:pPr>
      <w:r>
        <w:t>5. Erfindungsgemaesse Loesung – Beschreibung</w:t>
      </w:r>
    </w:p>
    <w:p>
      <w:r>
        <w:t>Die Erfindung loest die o.g. Aufgabe durch eine neuartige Kombination der Merkmale gemaess Hauptanspruch. Im Ausfuehrungsbeispiel wird die Loesung in einem Steuergeraet der Brennhagen Elektronik AG (Produkt ICP-3) implementiert. Die Hardware-Architektur basiert auf einem Aurix-Mikrocontroller (Infineon TC397) im Lockstep-Modus. Die Software-Komponente ist als AUTOSAR-konformer Software-Baustein (BSW-Modul) realisiert und nach ASPICE Level 3 entwickelt. Validierung und Verifikation erfolgten gemaess ISO 26262-6 (Software-Lebenszyklus) und ISO 21434 (Cybersecurity Engineering). Die Patentanmeldung wurde durch Boehmert &amp; Boehmert (Dr. Stefan Rueber) ausgearbeitet und begleitet.</w:t>
      </w:r>
    </w:p>
    <w:p>
      <w:pPr>
        <w:pStyle w:val="Heading3"/>
      </w:pPr>
      <w:r>
        <w:t>6. Industrielle Anwendbarkeit</w:t>
      </w:r>
    </w:p>
    <w:p>
      <w:r>
        <w:t>Die Erfindung findet industrielle Anwendung im Bereich der Automobil-Elektronik, insbesondere im Produkt ICP-3 der Brennhagen Elektronik AG. Die geschaetzte Stueckzahl belaeuft sich auf ueber 1 Mio. Einheiten pro Jahr. Die wirtschaftliche Bedeutung der Erfindung wird als hoch eingestuft. Erfindervergueutungen gem. ArbnErfG wurden mit den genannten Erfindern vereinbart (Vergueutungsschema gemaess Konzernrichtlinie 14.3 'Erfindungsverwaltung').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