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09</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3402853 B1</w:t>
            </w:r>
          </w:p>
        </w:tc>
      </w:tr>
      <w:tr>
        <w:tc>
          <w:tcPr>
            <w:tcW w:type="dxa" w:w="4320"/>
          </w:tcPr>
          <w:p>
            <w:r>
              <w:t>Anmeldetag</w:t>
            </w:r>
          </w:p>
        </w:tc>
        <w:tc>
          <w:tcPr>
            <w:tcW w:type="dxa" w:w="4320"/>
          </w:tcPr>
          <w:p>
            <w:r>
              <w:t>15. Maerz 2021</w:t>
            </w:r>
          </w:p>
        </w:tc>
      </w:tr>
      <w:tr>
        <w:tc>
          <w:tcPr>
            <w:tcW w:type="dxa" w:w="4320"/>
          </w:tcPr>
          <w:p>
            <w:r>
              <w:t>Erteilungstag</w:t>
            </w:r>
          </w:p>
        </w:tc>
        <w:tc>
          <w:tcPr>
            <w:tcW w:type="dxa" w:w="4320"/>
          </w:tcPr>
          <w:p>
            <w:r>
              <w:t>22. November 2021</w:t>
            </w:r>
          </w:p>
        </w:tc>
      </w:tr>
      <w:tr>
        <w:tc>
          <w:tcPr>
            <w:tcW w:type="dxa" w:w="4320"/>
          </w:tcPr>
          <w:p>
            <w:r>
              <w:t>Veroeffentlichung Erteilung</w:t>
            </w:r>
          </w:p>
        </w:tc>
        <w:tc>
          <w:tcPr>
            <w:tcW w:type="dxa" w:w="4320"/>
          </w:tcPr>
          <w:p>
            <w:r>
              <w:t>22. November 2021</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Dr. Stefan Brodbeck (RSG); Prof. Dr. Martin Lindenmann (TUM)</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G08G 1/16</w:t>
            </w:r>
          </w:p>
        </w:tc>
      </w:tr>
      <w:tr>
        <w:tc>
          <w:tcPr>
            <w:tcW w:type="dxa" w:w="4320"/>
          </w:tcPr>
          <w:p>
            <w:r>
              <w:t>Benennungsstaaten</w:t>
            </w:r>
          </w:p>
        </w:tc>
        <w:tc>
          <w:tcPr>
            <w:tcW w:type="dxa" w:w="4320"/>
          </w:tcPr>
          <w:p>
            <w:r>
              <w:t>DE / EP / US / CN / JP</w:t>
            </w:r>
          </w:p>
        </w:tc>
      </w:tr>
      <w:tr>
        <w:tc>
          <w:tcPr>
            <w:tcW w:type="dxa" w:w="4320"/>
          </w:tcPr>
          <w:p>
            <w:r>
              <w:t>Schutzdauer bis</w:t>
            </w:r>
          </w:p>
        </w:tc>
        <w:tc>
          <w:tcPr>
            <w:tcW w:type="dxa" w:w="4320"/>
          </w:tcPr>
          <w:p>
            <w:r>
              <w:t>15. Maerz 2041</w:t>
            </w:r>
          </w:p>
        </w:tc>
      </w:tr>
    </w:tbl>
    <w:p>
      <w:pPr>
        <w:pStyle w:val="Heading3"/>
      </w:pPr>
      <w:r>
        <w:t>2. Bezeichnung der Erfindung</w:t>
      </w:r>
    </w:p>
    <w:p>
      <w:r>
        <w:t>»Verfahren zur Detektion von Spurwechselabsichten benachbarter Fahrzeuge mittels Verhaltenspraediktion«. Die Erfindung gehoert dem technischen Gebiet Trajektorienpraediktion, Bayes'sche Inferenz, ML-Verhaltensmodell an und findet Anwendung im Produkt ADAS-V4D der Brennhagen Elektronik AG.</w:t>
      </w:r>
    </w:p>
    <w:p>
      <w:pPr>
        <w:pStyle w:val="Heading3"/>
      </w:pPr>
      <w:r>
        <w:t>3. Erteilungsformel</w:t>
      </w:r>
    </w:p>
    <w:p>
      <w:r>
        <w:t>Das Europaeische Patentamt erteilt hiermit gemaess Art. 97(1) des Europaeischen Patentuebereinkommens (EPUe) auf die Patentanmeldung mit dem Aktenzeichen EP 10242233.5 vom 15. Maerz 2021 fuer die Patentinhaberin Brennhagen Elektronik AG das vorliegende Patent. Das Patent tritt mit der heutigen Veroeffentlichung am 22. November 2021 in Kraft und gilt in den nachfolgend genannten Vertragsstaaten.</w:t>
      </w:r>
    </w:p>
    <w:p>
      <w:pPr>
        <w:pStyle w:val="Heading3"/>
      </w:pPr>
      <w:r>
        <w:t>4. Benennungsstaaten und Validierung</w:t>
      </w:r>
    </w:p>
    <w:p>
      <w:r>
        <w:t>Das vorliegende EP-Patent wird in folgenden Staaten validiert und in Kraft gesetzt: DE / EP / US / CN / JP.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