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12 (Galvanische Trennung)</w:t>
      </w:r>
    </w:p>
    <w:p>
      <w:pPr>
        <w:jc w:val="center"/>
      </w:pPr>
      <w:r>
        <w:t>Erwiderung gemaess Art. 94(3) EPUe, Aktenzeichen EP 10241644.8</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2020 in der Patentanmeldung Aktenzeichen EP 10241644.8 (»Vorrichtung zur galvanischen Entkopplung in Hochvolt-Batteriesystemen«)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10241644.8</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2020</w:t>
            </w:r>
          </w:p>
        </w:tc>
      </w:tr>
      <w:tr>
        <w:tc>
          <w:tcPr>
            <w:tcW w:type="dxa" w:w="4320"/>
          </w:tcPr>
          <w:p>
            <w:r>
              <w:t>Eingangsdatum dieser Erwiderung</w:t>
            </w:r>
          </w:p>
        </w:tc>
        <w:tc>
          <w:tcPr>
            <w:tcW w:type="dxa" w:w="4320"/>
          </w:tcPr>
          <w:p>
            <w:r>
              <w:t>28. September 2020</w:t>
            </w:r>
          </w:p>
        </w:tc>
      </w:tr>
      <w:tr>
        <w:tc>
          <w:tcPr>
            <w:tcW w:type="dxa" w:w="4320"/>
          </w:tcPr>
          <w:p>
            <w:r>
              <w:t>Frist gemaess Bescheid</w:t>
            </w:r>
          </w:p>
        </w:tc>
        <w:tc>
          <w:tcPr>
            <w:tcW w:type="dxa" w:w="4320"/>
          </w:tcPr>
          <w:p>
            <w:r>
              <w:t>14. Oktober 2020</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2020</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