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12</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3403804 B1</w:t>
            </w:r>
          </w:p>
        </w:tc>
      </w:tr>
      <w:tr>
        <w:tc>
          <w:tcPr>
            <w:tcW w:type="dxa" w:w="4320"/>
          </w:tcPr>
          <w:p>
            <w:r>
              <w:t>Anmeldetag</w:t>
            </w:r>
          </w:p>
        </w:tc>
        <w:tc>
          <w:tcPr>
            <w:tcW w:type="dxa" w:w="4320"/>
          </w:tcPr>
          <w:p>
            <w:r>
              <w:t>15. Maerz 2020</w:t>
            </w:r>
          </w:p>
        </w:tc>
      </w:tr>
      <w:tr>
        <w:tc>
          <w:tcPr>
            <w:tcW w:type="dxa" w:w="4320"/>
          </w:tcPr>
          <w:p>
            <w:r>
              <w:t>Erteilungstag</w:t>
            </w:r>
          </w:p>
        </w:tc>
        <w:tc>
          <w:tcPr>
            <w:tcW w:type="dxa" w:w="4320"/>
          </w:tcPr>
          <w:p>
            <w:r>
              <w:t>22. November 2020</w:t>
            </w:r>
          </w:p>
        </w:tc>
      </w:tr>
      <w:tr>
        <w:tc>
          <w:tcPr>
            <w:tcW w:type="dxa" w:w="4320"/>
          </w:tcPr>
          <w:p>
            <w:r>
              <w:t>Veroeffentlichung Erteilung</w:t>
            </w:r>
          </w:p>
        </w:tc>
        <w:tc>
          <w:tcPr>
            <w:tcW w:type="dxa" w:w="4320"/>
          </w:tcPr>
          <w:p>
            <w:r>
              <w:t>22. November 2020</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Petra Hollmann (REG); Dipl.-Ing. Bernd Mueller (REG)</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H02M 7/00</w:t>
            </w:r>
          </w:p>
        </w:tc>
      </w:tr>
      <w:tr>
        <w:tc>
          <w:tcPr>
            <w:tcW w:type="dxa" w:w="4320"/>
          </w:tcPr>
          <w:p>
            <w:r>
              <w:t>Benennungsstaaten</w:t>
            </w:r>
          </w:p>
        </w:tc>
        <w:tc>
          <w:tcPr>
            <w:tcW w:type="dxa" w:w="4320"/>
          </w:tcPr>
          <w:p>
            <w:r>
              <w:t>DE / EP / US / CN</w:t>
            </w:r>
          </w:p>
        </w:tc>
      </w:tr>
      <w:tr>
        <w:tc>
          <w:tcPr>
            <w:tcW w:type="dxa" w:w="4320"/>
          </w:tcPr>
          <w:p>
            <w:r>
              <w:t>Schutzdauer bis</w:t>
            </w:r>
          </w:p>
        </w:tc>
        <w:tc>
          <w:tcPr>
            <w:tcW w:type="dxa" w:w="4320"/>
          </w:tcPr>
          <w:p>
            <w:r>
              <w:t>15. Maerz 2040</w:t>
            </w:r>
          </w:p>
        </w:tc>
      </w:tr>
    </w:tbl>
    <w:p>
      <w:pPr>
        <w:pStyle w:val="Heading3"/>
      </w:pPr>
      <w:r>
        <w:t>2. Bezeichnung der Erfindung</w:t>
      </w:r>
    </w:p>
    <w:p>
      <w:r>
        <w:t>»Vorrichtung zur galvanischen Entkopplung in Hochvolt-Batteriesystemen«. Die Erfindung gehoert dem technischen Gebiet Hochvolt-Isolationsmonitoring, Optokoppler-Topologie, ASIL-D an und findet Anwendung im Produkt BMS-12 der Brennhagen Elektronik AG.</w:t>
      </w:r>
    </w:p>
    <w:p>
      <w:pPr>
        <w:pStyle w:val="Heading3"/>
      </w:pPr>
      <w:r>
        <w:t>3. Erteilungsformel</w:t>
      </w:r>
    </w:p>
    <w:p>
      <w:r>
        <w:t>Das Europaeische Patentamt erteilt hiermit gemaess Art. 97(1) des Europaeischen Patentuebereinkommens (EPUe) auf die Patentanmeldung mit dem Aktenzeichen EP 10241644.8 vom 15. Maerz 2020 fuer die Patentinhaberin Brennhagen Elektronik AG das vorliegende Patent. Das Patent tritt mit der heutigen Veroeffentlichung am 22. November 2020 in Kraft und gilt in den nachfolgend genannten Vertragsstaaten.</w:t>
      </w:r>
    </w:p>
    <w:p>
      <w:pPr>
        <w:pStyle w:val="Heading3"/>
      </w:pPr>
      <w:r>
        <w:t>4. Benennungsstaaten und Validierung</w:t>
      </w:r>
    </w:p>
    <w:p>
      <w:r>
        <w:t>Das vorliegende EP-Patent wird in folgenden Staaten validiert und in Kraft gesetzt: DE / EP / US / CN.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