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15</w:t>
      </w:r>
    </w:p>
    <w:p>
      <w:pPr>
        <w:jc w:val="center"/>
      </w:pPr>
      <w:r>
        <w:t>Patent Laser-Direct-Imaging – Aktenzeichen EP 10245055.4,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10245055.4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Laser-Direct-Imaging (LDI) Verfahren fuer hochpraezise Leiterplattenfertigung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2023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ANAQUA-30255-2023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DPMA-40165-2023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EPA-50195-2023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USPTO-60105-2023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CNIPA-70285-2023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»Laser-Direct-Imaging (LDI) Verfahren fuer hochpraezise Leiterplattenfertigung« belaeuft sich auf 1481.00 EUR (Summe aller Jurisdiktionen DE/EP/US/CN). Anwaltsgebueren in Hoehe von 850,00 EUR (Pauschale Boehmert &amp; Boehmert)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15 (Laser-Direct-Imaging) weiterhin in allen Jurisdiktionen aufrechtzuerhalten. Das Patent ist fuer das Produkt BMS-12 / ECU-900 (Fertigung) strategisch relevant; eine Aufgabe wird nicht empfohlen. Der naechste Review erfolgt im Rahmen der jaehrlichen Patentportfolio-Sitzung (Q4 2023).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Boehmert &amp; Boehmert vor. Verbuchung erfolgte am 2023-03-05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