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16</w:t>
      </w:r>
    </w:p>
    <w:p>
      <w:pPr>
        <w:jc w:val="center"/>
      </w:pPr>
      <w:r>
        <w:t>Patent Hochfrequenz-Substrat – Aktenzeichen EP 10242192.5,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10242192.5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Hochfrequenz-Substratmaterial fuer 77-GHz-Radaranwendungen mit reduzierter Dielektrizitaetskonstante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2020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2020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ANAQUA-30272-2020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DPMA-40176-2020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EPA-50208-2020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USPTO-60112-2020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CNIPA-70304-2020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»Hochfrequenz-Substratmaterial fuer 77-GHz-Radaranwendungen mit reduzierter Dielektrizitaetskonstante« belaeuft sich auf 1481.00 EUR (Summe aller Jurisdiktionen DE/EP/US/CN). Anwaltsgebueren in Hoehe von 850,00 EUR (Pauschale Maiwald Patentanwaelte)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16 (Hochfrequenz-Substrat) weiterhin in allen Jurisdiktionen aufrechtzuerhalten. Das Patent ist fuer das Produkt ADAS-V4D strategisch relevant; eine Aufgabe wird nicht empfohlen. Der naechste Review erfolgt im Rahmen der jaehrlichen Patentportfolio-Sitzung (Q4 2020).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Maiwald Patentanwaelte vor. Verbuchung erfolgte am 2020-03-05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