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Bescheid des Europaeischen Patentamts – Patent Nr. 18</w:t>
      </w:r>
    </w:p>
    <w:p>
      <w:pPr>
        <w:jc w:val="center"/>
      </w:pPr>
      <w:r>
        <w:t>EPA-Pruefbescheid gemaess Art. 94(3) EPUe, Aktenzeichen EP 10244466.7</w:t>
      </w:r>
    </w:p>
    <w:p/>
    <w:p>
      <w:pPr>
        <w:pStyle w:val="Heading3"/>
      </w:pPr>
      <w:r>
        <w:t>1. Verfahrensdaten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EPA-Aktenzeichen</w:t>
            </w:r>
          </w:p>
        </w:tc>
        <w:tc>
          <w:tcPr>
            <w:tcW w:type="dxa" w:w="4320"/>
          </w:tcPr>
          <w:p>
            <w:r>
              <w:t>EP 10244466.7</w:t>
            </w:r>
          </w:p>
        </w:tc>
      </w:tr>
      <w:tr>
        <w:tc>
          <w:tcPr>
            <w:tcW w:type="dxa" w:w="4320"/>
          </w:tcPr>
          <w:p>
            <w:r>
              <w:t>Anmelder</w:t>
            </w:r>
          </w:p>
        </w:tc>
        <w:tc>
          <w:tcPr>
            <w:tcW w:type="dxa" w:w="4320"/>
          </w:tcPr>
          <w:p>
            <w:r>
              <w:t>Brennhagen Elektronik AG</w:t>
            </w:r>
          </w:p>
        </w:tc>
      </w:tr>
      <w:tr>
        <w:tc>
          <w:tcPr>
            <w:tcW w:type="dxa" w:w="4320"/>
          </w:tcPr>
          <w:p>
            <w:r>
              <w:t>Vertreter</w:t>
            </w:r>
          </w:p>
        </w:tc>
        <w:tc>
          <w:tcPr>
            <w:tcW w:type="dxa" w:w="4320"/>
          </w:tcPr>
          <w:p>
            <w:r>
              <w:t>Boehmert &amp; Boehmert, Dr. Stefan Rueber</w:t>
            </w:r>
          </w:p>
        </w:tc>
      </w:tr>
      <w:tr>
        <w:tc>
          <w:tcPr>
            <w:tcW w:type="dxa" w:w="4320"/>
          </w:tcPr>
          <w:p>
            <w:r>
              <w:t>Pruefer EPA</w:t>
            </w:r>
          </w:p>
        </w:tc>
        <w:tc>
          <w:tcPr>
            <w:tcW w:type="dxa" w:w="4320"/>
          </w:tcPr>
          <w:p>
            <w:r>
              <w:t>M. Vandermeer (Hauptpruefer), Den Haag</w:t>
            </w:r>
          </w:p>
        </w:tc>
      </w:tr>
      <w:tr>
        <w:tc>
          <w:tcPr>
            <w:tcW w:type="dxa" w:w="4320"/>
          </w:tcPr>
          <w:p>
            <w:r>
              <w:t>Bescheid-Datum</w:t>
            </w:r>
          </w:p>
        </w:tc>
        <w:tc>
          <w:tcPr>
            <w:tcW w:type="dxa" w:w="4320"/>
          </w:tcPr>
          <w:p>
            <w:r>
              <w:t>14. Juni 2022</w:t>
            </w:r>
          </w:p>
        </w:tc>
      </w:tr>
      <w:tr>
        <w:tc>
          <w:tcPr>
            <w:tcW w:type="dxa" w:w="4320"/>
          </w:tcPr>
          <w:p>
            <w:r>
              <w:t>Frist zur Stellungnahme</w:t>
            </w:r>
          </w:p>
        </w:tc>
        <w:tc>
          <w:tcPr>
            <w:tcW w:type="dxa" w:w="4320"/>
          </w:tcPr>
          <w:p>
            <w:r>
              <w:t>4 Monate, d.h. bis 14. Oktober 2022</w:t>
            </w:r>
          </w:p>
        </w:tc>
      </w:tr>
      <w:tr>
        <w:tc>
          <w:tcPr>
            <w:tcW w:type="dxa" w:w="4320"/>
          </w:tcPr>
          <w:p>
            <w:r>
              <w:t>Rechtsgrundlage</w:t>
            </w:r>
          </w:p>
        </w:tc>
        <w:tc>
          <w:tcPr>
            <w:tcW w:type="dxa" w:w="4320"/>
          </w:tcPr>
          <w:p>
            <w:r>
              <w:t>Art. 94(3) EPUe, Regel 71(1) EPUe</w:t>
            </w:r>
          </w:p>
        </w:tc>
      </w:tr>
      <w:tr>
        <w:tc>
          <w:tcPr>
            <w:tcW w:type="dxa" w:w="4320"/>
          </w:tcPr>
          <w:p>
            <w:r>
              <w:t>Bezugnehmende Anmeldung</w:t>
            </w:r>
          </w:p>
        </w:tc>
        <w:tc>
          <w:tcPr>
            <w:tcW w:type="dxa" w:w="4320"/>
          </w:tcPr>
          <w:p>
            <w:r>
              <w:t>Patent-Akte Nr. 18 (Glare-Free-Beam Matrix-LED)</w:t>
            </w:r>
          </w:p>
        </w:tc>
      </w:tr>
    </w:tbl>
    <w:p>
      <w:pPr>
        <w:pStyle w:val="Heading3"/>
      </w:pPr>
      <w:r>
        <w:t>2. Pruefungssachstand</w:t>
      </w:r>
    </w:p>
    <w:p>
      <w:r>
        <w:t>Das Europaeische Patentamt hat die Anmeldung mit dem Aktenzeichen EP 10244466.7 (Erfindung: »Verfahren zur blendfreien Lichtverteilung bei Matrix-LED-Scheinwerfersystemen«) inhaltlich gepruefte. Im Ergebnis sind die Ansprueche 1 bis 6 in der eingereichten Fassung nicht in vollem Umfang gewaehrbar. Die Pruefungsabteilung hat folgende Beanstandungen erhoben, die in der vorliegenden Mitteilung erlaeutert werden:</w:t>
      </w:r>
    </w:p>
    <w:p>
      <w:pPr>
        <w:pStyle w:val="Heading3"/>
      </w:pPr>
      <w:r>
        <w:t>3. Beanstandungen im Einzelnen</w:t>
      </w:r>
    </w:p>
    <w:p>
      <w:pPr>
        <w:pStyle w:val="ListBullet"/>
      </w:pPr>
      <w:r>
        <w:t>Anspruch 1 weist gegenueber dem Stand der Technik gemaess D1 (EP 3 421 218 B1) keine erfinderische Taetigkeit gemaess Art. 56 EPUe auf. Die im kennzeichnenden Teil genannten Merkmale sind dem Fachmann aus D1, Spalte 4, Z. 18-32, in naheliegender Weise zu entnehmen.</w:t>
      </w:r>
    </w:p>
    <w:p>
      <w:pPr>
        <w:pStyle w:val="ListBullet"/>
      </w:pPr>
      <w:r>
        <w:t>Anspruch 2 ist unklar formuliert (Art. 84 EPUe). Insbesondere die Angabe 'Multicore-Aurix-TC397-Mikrocontroller' ist eine Marken-/Produkbezeichnung und muss durch generische Merkmalsangaben ersetzt werden.</w:t>
      </w:r>
    </w:p>
    <w:p>
      <w:pPr>
        <w:pStyle w:val="ListBullet"/>
      </w:pPr>
      <w:r>
        <w:t>Anspruch 3 enthaelt eine unzulaessige Erweiterung gegenueber den urspruenglich eingereichten Unterlagen (Art. 123(2) EPUe). Die Variante 'Automotive-Ethernet' ist in der urspruenglichen Anmeldung nicht offenbart.</w:t>
      </w:r>
    </w:p>
    <w:p>
      <w:pPr>
        <w:pStyle w:val="ListBullet"/>
      </w:pPr>
      <w:r>
        <w:t>Die Ansprueche 4 bis 6 teilen die Maengel der Bezugsansprueche. Eine erneute Pruefung erfolgt nach Vorlage der geaenderten Anspruchsfassung.</w:t>
      </w:r>
    </w:p>
    <w:p>
      <w:pPr>
        <w:pStyle w:val="Heading3"/>
      </w:pPr>
      <w:r>
        <w:t>4. Im Pruefungsverfahren beruecksichtigte Druckschriften</w:t>
      </w:r>
    </w:p>
    <w:tbl>
      <w:tblPr>
        <w:tblStyle w:val="TableGrid"/>
        <w:tblW w:type="auto" w:w="0"/>
        <w:tblLook w:firstColumn="1" w:firstRow="1" w:lastColumn="0" w:lastRow="0" w:noHBand="0" w:noVBand="1" w:val="04A0"/>
      </w:tblPr>
      <w:tblGrid>
        <w:gridCol w:w="2880"/>
        <w:gridCol w:w="2880"/>
        <w:gridCol w:w="2880"/>
      </w:tblGrid>
      <w:tr>
        <w:tc>
          <w:tcPr>
            <w:tcW w:type="dxa" w:w="2880"/>
          </w:tcPr>
          <w:p>
            <w:r>
              <w:t>Code</w:t>
            </w:r>
          </w:p>
        </w:tc>
        <w:tc>
          <w:tcPr>
            <w:tcW w:type="dxa" w:w="2880"/>
          </w:tcPr>
          <w:p>
            <w:r>
              <w:t>Druckschrift</w:t>
            </w:r>
          </w:p>
        </w:tc>
        <w:tc>
          <w:tcPr>
            <w:tcW w:type="dxa" w:w="2880"/>
          </w:tcPr>
          <w:p>
            <w:r>
              <w:t>Relevanz</w:t>
            </w:r>
          </w:p>
        </w:tc>
      </w:tr>
      <w:tr>
        <w:tc>
          <w:tcPr>
            <w:tcW w:type="dxa" w:w="2880"/>
          </w:tcPr>
          <w:p>
            <w:r>
              <w:t>D1</w:t>
            </w:r>
          </w:p>
        </w:tc>
        <w:tc>
          <w:tcPr>
            <w:tcW w:type="dxa" w:w="2880"/>
          </w:tcPr>
          <w:p>
            <w:r>
              <w:t>EP 3 421 218 B1 (Continental AG)</w:t>
            </w:r>
          </w:p>
        </w:tc>
        <w:tc>
          <w:tcPr>
            <w:tcW w:type="dxa" w:w="2880"/>
          </w:tcPr>
          <w:p>
            <w:r>
              <w:t>Stand der Technik – naechstliegend</w:t>
            </w:r>
          </w:p>
        </w:tc>
      </w:tr>
      <w:tr>
        <w:tc>
          <w:tcPr>
            <w:tcW w:type="dxa" w:w="2880"/>
          </w:tcPr>
          <w:p>
            <w:r>
              <w:t>D2</w:t>
            </w:r>
          </w:p>
        </w:tc>
        <w:tc>
          <w:tcPr>
            <w:tcW w:type="dxa" w:w="2880"/>
          </w:tcPr>
          <w:p>
            <w:r>
              <w:t>US 2020/0123456 A1 (Bosch GmbH)</w:t>
            </w:r>
          </w:p>
        </w:tc>
        <w:tc>
          <w:tcPr>
            <w:tcW w:type="dxa" w:w="2880"/>
          </w:tcPr>
          <w:p>
            <w:r>
              <w:t>Stand der Technik – relevant</w:t>
            </w:r>
          </w:p>
        </w:tc>
      </w:tr>
      <w:tr>
        <w:tc>
          <w:tcPr>
            <w:tcW w:type="dxa" w:w="2880"/>
          </w:tcPr>
          <w:p>
            <w:r>
              <w:t>D3</w:t>
            </w:r>
          </w:p>
        </w:tc>
        <w:tc>
          <w:tcPr>
            <w:tcW w:type="dxa" w:w="2880"/>
          </w:tcPr>
          <w:p>
            <w:r>
              <w:t>DE 10 2018 213 547 A1 (ZF Friedrichshafen)</w:t>
            </w:r>
          </w:p>
        </w:tc>
        <w:tc>
          <w:tcPr>
            <w:tcW w:type="dxa" w:w="2880"/>
          </w:tcPr>
          <w:p>
            <w:r>
              <w:t>Stand der Technik – relevant</w:t>
            </w:r>
          </w:p>
        </w:tc>
      </w:tr>
      <w:tr>
        <w:tc>
          <w:tcPr>
            <w:tcW w:type="dxa" w:w="2880"/>
          </w:tcPr>
          <w:p>
            <w:r>
              <w:t>D4</w:t>
            </w:r>
          </w:p>
        </w:tc>
        <w:tc>
          <w:tcPr>
            <w:tcW w:type="dxa" w:w="2880"/>
          </w:tcPr>
          <w:p>
            <w:r>
              <w:t>WO 2019/118432 A1 (Mobileye)</w:t>
            </w:r>
          </w:p>
        </w:tc>
        <w:tc>
          <w:tcPr>
            <w:tcW w:type="dxa" w:w="2880"/>
          </w:tcPr>
          <w:p>
            <w:r>
              <w:t>ergaenzend zitiert</w:t>
            </w:r>
          </w:p>
        </w:tc>
      </w:tr>
    </w:tbl>
    <w:p>
      <w:pPr>
        <w:pStyle w:val="Heading3"/>
      </w:pPr>
      <w:r>
        <w:t>5. Aufforderung an den Anmelder</w:t>
      </w:r>
    </w:p>
    <w:p>
      <w:r>
        <w:t>Der Anmelder wird aufgefordert, innerhalb der oben genannten Frist von 4 Monaten (bis 14. Oktober 2022) zu den vorgenannten Beanstandungen Stellung zu nehmen und ggf. eine geaenderte Anspruchsfassung einzureichen. Anderenfalls wird die Anmeldung gemaess Art. 94(4) EPUe zurueckgewiesen. Eine muendliche Verhandlung kann hilfsweise beantragt werden (Art. 116 EPUe).</w:t>
      </w:r>
    </w:p>
    <w:p>
      <w:pPr>
        <w:pStyle w:val="Heading3"/>
      </w:pPr>
      <w:r>
        <w:t>6. Interne Bewertung – Patentanwalt</w:t>
      </w:r>
    </w:p>
    <w:p>
      <w:r>
        <w:t>Aus Sicht von Boehmert &amp; Boehmert (Dr. Stefan Rueber) sind die Beanstandungen zu Anspruch 1 und 2 mit hoher Wahrscheinlichkeit ueberwindbar. Die Beanstandung zu Anspruch 3 (Art. 123(2) EPUe) erfordert eine Anspruchsumformulierung; die Streichung der Variante 'Automotive-Ethernet' wird empfohlen. Eine vollstaendige Erteilung mit reduziertem Schutzumfang gegenueber dem ursprueglich beantragten wird erwartet. Empfehlung: Antwortschrift binnen 8 Wochen einreichen, Erfinder-Rueckkopplung zu Anspruch 3 einholen.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