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18</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3405706 B1</w:t>
            </w:r>
          </w:p>
        </w:tc>
      </w:tr>
      <w:tr>
        <w:tc>
          <w:tcPr>
            <w:tcW w:type="dxa" w:w="4320"/>
          </w:tcPr>
          <w:p>
            <w:r>
              <w:t>Anmeldetag</w:t>
            </w:r>
          </w:p>
        </w:tc>
        <w:tc>
          <w:tcPr>
            <w:tcW w:type="dxa" w:w="4320"/>
          </w:tcPr>
          <w:p>
            <w:r>
              <w:t>15. Maerz 2022</w:t>
            </w:r>
          </w:p>
        </w:tc>
      </w:tr>
      <w:tr>
        <w:tc>
          <w:tcPr>
            <w:tcW w:type="dxa" w:w="4320"/>
          </w:tcPr>
          <w:p>
            <w:r>
              <w:t>Erteilungstag</w:t>
            </w:r>
          </w:p>
        </w:tc>
        <w:tc>
          <w:tcPr>
            <w:tcW w:type="dxa" w:w="4320"/>
          </w:tcPr>
          <w:p>
            <w:r>
              <w:t>22. November 2022</w:t>
            </w:r>
          </w:p>
        </w:tc>
      </w:tr>
      <w:tr>
        <w:tc>
          <w:tcPr>
            <w:tcW w:type="dxa" w:w="4320"/>
          </w:tcPr>
          <w:p>
            <w:r>
              <w:t>Veroeffentlichung Erteilung</w:t>
            </w:r>
          </w:p>
        </w:tc>
        <w:tc>
          <w:tcPr>
            <w:tcW w:type="dxa" w:w="4320"/>
          </w:tcPr>
          <w:p>
            <w:r>
              <w:t>22. November 2022</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Dipl.-Ing. Thomas Krause (REG); Dr. Klaus Kessler (RSG)</w:t>
            </w:r>
          </w:p>
        </w:tc>
      </w:tr>
      <w:tr>
        <w:tc>
          <w:tcPr>
            <w:tcW w:type="dxa" w:w="4320"/>
          </w:tcPr>
          <w:p>
            <w:r>
              <w:t>Vertreter</w:t>
            </w:r>
          </w:p>
        </w:tc>
        <w:tc>
          <w:tcPr>
            <w:tcW w:type="dxa" w:w="4320"/>
          </w:tcPr>
          <w:p>
            <w:r>
              <w:t>Boehmert &amp; Boehmert (Dr. Stefan Rueber)</w:t>
            </w:r>
          </w:p>
        </w:tc>
      </w:tr>
      <w:tr>
        <w:tc>
          <w:tcPr>
            <w:tcW w:type="dxa" w:w="4320"/>
          </w:tcPr>
          <w:p>
            <w:r>
              <w:t>IPC-Klasse</w:t>
            </w:r>
          </w:p>
        </w:tc>
        <w:tc>
          <w:tcPr>
            <w:tcW w:type="dxa" w:w="4320"/>
          </w:tcPr>
          <w:p>
            <w:r>
              <w:t>B60Q 1/14</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2042</w:t>
            </w:r>
          </w:p>
        </w:tc>
      </w:tr>
    </w:tbl>
    <w:p>
      <w:pPr>
        <w:pStyle w:val="Heading3"/>
      </w:pPr>
      <w:r>
        <w:t>2. Bezeichnung der Erfindung</w:t>
      </w:r>
    </w:p>
    <w:p>
      <w:r>
        <w:t>»Verfahren zur blendfreien Lichtverteilung bei Matrix-LED-Scheinwerfersystemen«. Die Erfindung gehoert dem technischen Gebiet Pixel-genaue Lichtausblendung, Kamera-basierte Objekterkennung, Glare-Reduction an und findet Anwendung im Produkt LightCtrl-7 der Brennhagen Elektronik AG.</w:t>
      </w:r>
    </w:p>
    <w:p>
      <w:pPr>
        <w:pStyle w:val="Heading3"/>
      </w:pPr>
      <w:r>
        <w:t>3. Erteilungsformel</w:t>
      </w:r>
    </w:p>
    <w:p>
      <w:r>
        <w:t>Das Europaeische Patentamt erteilt hiermit gemaess Art. 97(1) des Europaeischen Patentuebereinkommens (EPUe) auf die Patentanmeldung mit dem Aktenzeichen EP 10244466.7 vom 15. Maerz 2022 fuer die Patentinhaberin Brennhagen Elektronik AG das vorliegende Patent. Das Patent tritt mit der heutigen Veroeffentlichung am 22. November 2022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Boehmert &amp; Boehmert (Dr. Stefan Rueber)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