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18</w:t>
      </w:r>
    </w:p>
    <w:p>
      <w:pPr>
        <w:jc w:val="center"/>
      </w:pPr>
      <w:r>
        <w:t>Patent Glare-Free-Beam Matrix-LED – Aktenzeichen EP 10244466.7,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10244466.7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Verfahren zur blendfreien Lichtverteilung bei Matrix-LED-Scheinwerfersystemen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2022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2022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Boehmert &amp; Boehmert (Dr. Stefan Rueber)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ANAQUA-30306-2022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DPMA-40198-2022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EPA-50234-2022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USPTO-60126-2022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CNIPA-70342-2022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»Verfahren zur blendfreien Lichtverteilung bei Matrix-LED-Scheinwerfersystemen« belaeuft sich auf 1481.00 EUR (Summe aller Jurisdiktionen DE/EP/US/CN). Anwaltsgebueren in Hoehe von 850,00 EUR (Pauschale Boehmert &amp; Boehmert)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18 (Glare-Free-Beam Matrix-LED) weiterhin in allen Jurisdiktionen aufrechtzuerhalten. Das Patent ist fuer das Produkt LightCtrl-7 strategisch relevant; eine Aufgabe wird nicht empfohlen. Der naechste Review erfolgt im Rahmen der jaehrlichen Patentportfolio-Sitzung (Q4 2022).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Boehmert &amp; Boehmert vor. Verbuchung erfolgte am 2022-03-05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