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Joint Development Agreement (JDA) {R} und BMW Group ADAS</w:t>
      </w:r>
    </w:p>
    <w:p>
      <w:pPr>
        <w:jc w:val="center"/>
      </w:pPr>
      <w:r>
        <w:t>Gemeinsame Entwicklungsvereinbarung ADAS-Plattform, Stand 2022</w:t>
      </w:r>
    </w:p>
    <w:p/>
    <w:p>
      <w:pPr>
        <w:pStyle w:val="Heading3"/>
      </w:pPr>
      <w:r>
        <w:t>1. Vertragsparteien und Vertragsgegenstand</w:t>
      </w:r>
    </w:p>
    <w:p>
      <w:r>
        <w:t>Zwischen der Brennhagen Elektronik AG (»REA«) und der BMW AG, Petuelring 130, 80809 Muenchen (»BMW«) wird das vorliegende Joint Development Agreement (JDA) zur gemeinsamen Entwicklung einer ADAS-Sensor-Fusion-Plattform geschlossen. Das Projekt traegt den internen Code »Project Pegasus« und umfasst die gemeinsame Entwicklung des Steuergeraets, der Sensor-Fusion-Algorithmen sowie der Validierungs-Strecke fuer Level-2+/Level-3-ADAS-Funktionen.</w:t>
      </w:r>
    </w:p>
    <w:p>
      <w:pPr>
        <w:pStyle w:val="Heading3"/>
      </w:pPr>
      <w:r>
        <w:t>2. Projektorganisation</w:t>
      </w:r>
    </w:p>
    <w:tbl>
      <w:tblPr>
        <w:tblStyle w:val="TableGrid"/>
        <w:tblW w:type="auto" w:w="0"/>
        <w:tblLook w:firstColumn="1" w:firstRow="1" w:lastColumn="0" w:lastRow="0" w:noHBand="0" w:noVBand="1" w:val="04A0"/>
      </w:tblPr>
      <w:tblGrid>
        <w:gridCol w:w="2880"/>
        <w:gridCol w:w="2880"/>
        <w:gridCol w:w="2880"/>
      </w:tblGrid>
      <w:tr>
        <w:tc>
          <w:tcPr>
            <w:tcW w:type="dxa" w:w="2880"/>
          </w:tcPr>
          <w:p>
            <w:r>
              <w:t>Funktion</w:t>
            </w:r>
          </w:p>
        </w:tc>
        <w:tc>
          <w:tcPr>
            <w:tcW w:type="dxa" w:w="2880"/>
          </w:tcPr>
          <w:p>
            <w:r>
              <w:t>REA-Vertreter</w:t>
            </w:r>
          </w:p>
        </w:tc>
        <w:tc>
          <w:tcPr>
            <w:tcW w:type="dxa" w:w="2880"/>
          </w:tcPr>
          <w:p>
            <w:r>
              <w:t>BMW-Vertreter</w:t>
            </w:r>
          </w:p>
        </w:tc>
      </w:tr>
      <w:tr>
        <w:tc>
          <w:tcPr>
            <w:tcW w:type="dxa" w:w="2880"/>
          </w:tcPr>
          <w:p>
            <w:r>
              <w:t>Sponsor</w:t>
            </w:r>
          </w:p>
        </w:tc>
        <w:tc>
          <w:tcPr>
            <w:tcW w:type="dxa" w:w="2880"/>
          </w:tcPr>
          <w:p>
            <w:r>
              <w:t>Stefan Hoffmann (CTO)</w:t>
            </w:r>
          </w:p>
        </w:tc>
        <w:tc>
          <w:tcPr>
            <w:tcW w:type="dxa" w:w="2880"/>
          </w:tcPr>
          <w:p>
            <w:r>
              <w:t>Frank Wendler (VP Driving Experience)</w:t>
            </w:r>
          </w:p>
        </w:tc>
      </w:tr>
      <w:tr>
        <w:tc>
          <w:tcPr>
            <w:tcW w:type="dxa" w:w="2880"/>
          </w:tcPr>
          <w:p>
            <w:r>
              <w:t>Project Lead</w:t>
            </w:r>
          </w:p>
        </w:tc>
        <w:tc>
          <w:tcPr>
            <w:tcW w:type="dxa" w:w="2880"/>
          </w:tcPr>
          <w:p>
            <w:r>
              <w:t>Dr. Stefan Brodbeck (RSG)</w:t>
            </w:r>
          </w:p>
        </w:tc>
        <w:tc>
          <w:tcPr>
            <w:tcW w:type="dxa" w:w="2880"/>
          </w:tcPr>
          <w:p>
            <w:r>
              <w:t>Dr. Karsten Heuer (BMW)</w:t>
            </w:r>
          </w:p>
        </w:tc>
      </w:tr>
      <w:tr>
        <w:tc>
          <w:tcPr>
            <w:tcW w:type="dxa" w:w="2880"/>
          </w:tcPr>
          <w:p>
            <w:r>
              <w:t>Technical Lead</w:t>
            </w:r>
          </w:p>
        </w:tc>
        <w:tc>
          <w:tcPr>
            <w:tcW w:type="dxa" w:w="2880"/>
          </w:tcPr>
          <w:p>
            <w:r>
              <w:t>Dr. Klaus Kessler (RSG)</w:t>
            </w:r>
          </w:p>
        </w:tc>
        <w:tc>
          <w:tcPr>
            <w:tcW w:type="dxa" w:w="2880"/>
          </w:tcPr>
          <w:p>
            <w:r>
              <w:t>Dr. Andreas Rehbein (BMW)</w:t>
            </w:r>
          </w:p>
        </w:tc>
      </w:tr>
      <w:tr>
        <w:tc>
          <w:tcPr>
            <w:tcW w:type="dxa" w:w="2880"/>
          </w:tcPr>
          <w:p>
            <w:r>
              <w:t>IP Lead</w:t>
            </w:r>
          </w:p>
        </w:tc>
        <w:tc>
          <w:tcPr>
            <w:tcW w:type="dxa" w:w="2880"/>
          </w:tcPr>
          <w:p>
            <w:r>
              <w:t>Dr. Florian Maier (REA)</w:t>
            </w:r>
          </w:p>
        </w:tc>
        <w:tc>
          <w:tcPr>
            <w:tcW w:type="dxa" w:w="2880"/>
          </w:tcPr>
          <w:p>
            <w:r>
              <w:t>Mike Schoenberg (BMW Legal)</w:t>
            </w:r>
          </w:p>
        </w:tc>
      </w:tr>
      <w:tr>
        <w:tc>
          <w:tcPr>
            <w:tcW w:type="dxa" w:w="2880"/>
          </w:tcPr>
          <w:p>
            <w:r>
              <w:t>Quality Lead</w:t>
            </w:r>
          </w:p>
        </w:tc>
        <w:tc>
          <w:tcPr>
            <w:tcW w:type="dxa" w:w="2880"/>
          </w:tcPr>
          <w:p>
            <w:r>
              <w:t>Sabine Brand (REG)</w:t>
            </w:r>
          </w:p>
        </w:tc>
        <w:tc>
          <w:tcPr>
            <w:tcW w:type="dxa" w:w="2880"/>
          </w:tcPr>
          <w:p>
            <w:r>
              <w:t>Dr. Helmut Wagner (BMW QM)</w:t>
            </w:r>
          </w:p>
        </w:tc>
      </w:tr>
    </w:tbl>
    <w:p>
      <w:pPr>
        <w:pStyle w:val="Heading3"/>
      </w:pPr>
      <w:r>
        <w:t>3. IP-Verteilung (Background / Foreground)</w:t>
      </w:r>
    </w:p>
    <w:p>
      <w:pPr>
        <w:pStyle w:val="Heading4"/>
      </w:pPr>
      <w:r>
        <w:t>§ 1 Background-IP</w:t>
      </w:r>
    </w:p>
    <w:p>
      <w:r>
        <w:rPr>
          <w:b/>
        </w:rPr>
        <w:t xml:space="preserve">(1) </w:t>
      </w:r>
      <w:r>
        <w:t>Jede Partei behaelt ihr vor Vertragsbeginn vorhandenes IP (Background-IP) und gewaehrt der jeweils anderen Partei eine nicht-exklusive, lizenzkostenfreie Nutzungslizenz ausschliesslich zur Durchfuehrung des Projekts.</w:t>
      </w:r>
    </w:p>
    <w:p>
      <w:r>
        <w:rPr>
          <w:b/>
        </w:rPr>
        <w:t xml:space="preserve">(2) </w:t>
      </w:r>
      <w:r>
        <w:t>Hierzu zaehlen insbesondere die REA-Patente Nr. 02, 06, 09 und 17 sowie die BMW-Patente aus den Patentfamilien EP 3 521 xxx (Selbst-Lokalisierung) und EP 3 712 xxx (HMI Driver Monitoring).</w:t>
      </w:r>
    </w:p>
    <w:p>
      <w:pPr>
        <w:pStyle w:val="Heading4"/>
      </w:pPr>
      <w:r>
        <w:t>§ 2 Foreground-IP</w:t>
      </w:r>
    </w:p>
    <w:p>
      <w:r>
        <w:rPr>
          <w:b/>
        </w:rPr>
        <w:t xml:space="preserve">(1) </w:t>
      </w:r>
      <w:r>
        <w:t>Im Projekt entstehende Erfindungen (Foreground-IP) werden gemaess Beitragsanteil aufgeteilt:</w:t>
      </w:r>
    </w:p>
    <w:p>
      <w:r>
        <w:rPr>
          <w:b/>
        </w:rPr>
        <w:t xml:space="preserve">(2) </w:t>
      </w:r>
      <w:r>
        <w:t>Erfindungen der Hardware-Architektur und der HMI-Komponenten gehoeren BMW.</w:t>
      </w:r>
    </w:p>
    <w:p>
      <w:r>
        <w:rPr>
          <w:b/>
        </w:rPr>
        <w:t xml:space="preserve">(3) </w:t>
      </w:r>
      <w:r>
        <w:t>Erfindungen im Bereich Sensor-Fusion-Algorithmik und Software-Plattform gehoeren der REA.</w:t>
      </w:r>
    </w:p>
    <w:p>
      <w:r>
        <w:rPr>
          <w:b/>
        </w:rPr>
        <w:t xml:space="preserve">(4) </w:t>
      </w:r>
      <w:r>
        <w:t>Gemischte Erfindungen werden als Co-Owned-IP angemeldet und gegenseitig lizenzkostenfrei genutzt.</w:t>
      </w:r>
    </w:p>
    <w:p>
      <w:pPr>
        <w:pStyle w:val="Heading4"/>
      </w:pPr>
      <w:r>
        <w:t>§ 3 Patentanmeldungen</w:t>
      </w:r>
    </w:p>
    <w:p>
      <w:r>
        <w:rPr>
          <w:b/>
        </w:rPr>
        <w:t xml:space="preserve">(1) </w:t>
      </w:r>
      <w:r>
        <w:t>Patentanmeldungen erfolgen durch die jeweils verantwortliche Partei in Abstimmung mit Maiwald Patentanwaelte (REA-Seite) bzw. der BMW-Patentabteilung (BMW-Seite). Bei Co-Owned-IP wird abwechselnd federfuehrend angemeldet.</w:t>
      </w:r>
    </w:p>
    <w:p>
      <w:pPr>
        <w:pStyle w:val="Heading3"/>
      </w:pPr>
      <w:r>
        <w:t>4. Budget und Finanzierung</w:t>
      </w:r>
    </w:p>
    <w:p>
      <w:r>
        <w:t>Das Gesamtbudget belaeuft sich auf 28,5 Mio. EUR fuer die Vertragslaufzeit 01.01.2022 bis 31.12.2024. BMW finanziert 60 % (17,1 Mio. EUR), REA finanziert 40 % (11,4 Mio. EUR). Die REA-eigenen Personalkosten werden auf Basis von Stundensaetzen abgerechnet (Senior Eng. 145 EUR/h, Lead Eng. 175 EUR/h). Eine separate Reise- und Material-Position in Hoehe von 1,2 Mio. EUR ist im Budget enthalten.</w:t>
      </w:r>
    </w:p>
    <w:p>
      <w:pPr>
        <w:pStyle w:val="Heading3"/>
      </w:pPr>
      <w:r>
        <w:t>5. Exklusivitaet und Wettbewerbsklausel</w:t>
      </w:r>
    </w:p>
    <w:p>
      <w:r>
        <w:t>REA verpflichtet sich, die im Projekt entwickelten Foreground-Komponenten waehrend einer Exklusivitaets-Periode von 18 Monaten nach SOP des BMW-Serienprodukts (voraussichtlich Q3 2025) ausschliesslich an BMW zu liefern. Nach Ablauf der Exklusivitaet steht es REA frei, die Plattform an weitere OEMs zu vermarkten. Eine Verkuerzung der Exklusivitaet ist gegen eine Ausgleichszahlung moeglich.</w:t>
      </w:r>
    </w:p>
    <w:p>
      <w:pPr>
        <w:pStyle w:val="Heading3"/>
      </w:pPr>
      <w:r>
        <w:t>6. Schlussbestimmungen</w:t>
      </w:r>
    </w:p>
    <w:p>
      <w:r>
        <w:t>Ort, Datum: Muenchen, den 14. Maerz 2022</w:t>
      </w:r>
    </w:p>
    <w:p>
      <w:r>
        <w:t>_________________________            _________________________</w:t>
        <w:br/>
        <w:t>Stefan Hoffmann                          Frank Wendler</w:t>
        <w:br/>
        <w:t>CTO                          VP Driving Experience</w:t>
        <w:br/>
        <w:t>Brennhagen Elektronik AG                       BMW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