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Technologielizenzvertrag Brennhagen Elektronik AG / BMW Group</w:t>
      </w:r>
    </w:p>
    <w:p>
      <w:pPr>
        <w:jc w:val="center"/>
      </w:pPr>
      <w:r>
        <w:t>Out-Licensing-Vereinbarung, Stand 2021</w:t>
      </w:r>
    </w:p>
    <w:p/>
    <w:p>
      <w:pPr>
        <w:pStyle w:val="Heading3"/>
      </w:pPr>
      <w:r>
        <w:t>1. Vertragsparteien</w:t>
      </w:r>
    </w:p>
    <w:p>
      <w:r>
        <w:t>Zwischen der Brennhagen Elektronik AG, Vaihinger Strasse 120, 70567 Stuttgart, eingetragen im Handelsregister des Amtsgerichts Stuttgart unter HRB 726451 (»Lizenzgeber«), vertreten durch den Vorstand Anna Mueller (CEO) und Stefan Hoffmann (CTO bis 30.06.2024), und BMW Group (»Lizenznehmer«) wird die folgende Technologielizenzvereinbarung geschlossen.</w:t>
      </w:r>
    </w:p>
    <w:p>
      <w:pPr>
        <w:pStyle w:val="Heading3"/>
      </w:pPr>
      <w:r>
        <w:t>2. Vertragsgegenstand und Lizenzumfang</w:t>
      </w:r>
    </w:p>
    <w:p>
      <w:pPr>
        <w:pStyle w:val="Heading4"/>
      </w:pPr>
      <w:r>
        <w:t>§ 1 Vertragsgegenstand</w:t>
      </w:r>
    </w:p>
    <w:p>
      <w:r>
        <w:rPr>
          <w:b/>
        </w:rPr>
        <w:t xml:space="preserve">(1) </w:t>
      </w:r>
      <w:r>
        <w:t>Gegenstand dieses Vertrages ist die Erteilung einer nicht-exklusiven, weltweiten und unterlizenzierbaren Lizenz an den im Anhang 1 aufgefuehrten Patenten und Patentanmeldungen der Brennhagen Elektronik AG (»Lizenzpatente«) sowie an den dazugehoerigen technischen Know-how-Paketen (»Lizenz-Know-how«).</w:t>
      </w:r>
    </w:p>
    <w:p>
      <w:r>
        <w:rPr>
          <w:b/>
        </w:rPr>
        <w:t xml:space="preserve">(2) </w:t>
      </w:r>
      <w:r>
        <w:t>Die Lizenzpatente umfassen insbesondere die Patentfamilien Nr. 02 (Kamerasystem mit 4D-Radarfusion), Nr. 06 (Selbstkalibrierendes Sensorsystem), Nr. 09 (Spurwechsel-Detektion) sowie Nr. 17 (Praediktiver Bremseingriff) einschliesslich aller Folgeanmeldungen und Erweiterungen.</w:t>
      </w:r>
    </w:p>
    <w:p>
      <w:pPr>
        <w:pStyle w:val="Heading4"/>
      </w:pPr>
      <w:r>
        <w:t>§ 2 Lizenzumfang</w:t>
      </w:r>
    </w:p>
    <w:p>
      <w:r>
        <w:rPr>
          <w:b/>
        </w:rPr>
        <w:t xml:space="preserve">(1) </w:t>
      </w:r>
      <w:r>
        <w:t>Der Lizenznehmer erhaelt das Recht, die Lizenzpatente und das Lizenz-Know-how zur Entwicklung, Herstellung und Vermarktung eigener ADAS-Systeme einzusetzen.</w:t>
      </w:r>
    </w:p>
    <w:p>
      <w:r>
        <w:rPr>
          <w:b/>
        </w:rPr>
        <w:t xml:space="preserve">(2) </w:t>
      </w:r>
      <w:r>
        <w:t>Eine Weitergabe an Tier-2-/Tier-3-Lieferanten ist mit schriftlicher Zustimmung des Lizenzgebers zulaessig.</w:t>
      </w:r>
    </w:p>
    <w:p>
      <w:pPr>
        <w:pStyle w:val="Heading4"/>
      </w:pPr>
      <w:r>
        <w:t>§ 3 Laufzeit</w:t>
      </w:r>
    </w:p>
    <w:p>
      <w:r>
        <w:rPr>
          <w:b/>
        </w:rPr>
        <w:t xml:space="preserve">(1) </w:t>
      </w:r>
      <w:r>
        <w:t>Der Vertrag tritt am 01. Januar 2021 in Kraft und laeuft bis zum Ablauf des letzten zur Lizenz gehoerenden Patents (voraussichtlich 15.03.2042). Eine vorzeitige Beendigung ist nur aus wichtigem Grund moeglich.</w:t>
      </w:r>
    </w:p>
    <w:p>
      <w:pPr>
        <w:pStyle w:val="Heading3"/>
      </w:pPr>
      <w:r>
        <w:t>3. Verguetung und Royalties</w:t>
      </w:r>
    </w:p>
    <w:tbl>
      <w:tblPr>
        <w:tblStyle w:val="TableGrid"/>
        <w:tblW w:type="auto" w:w="0"/>
        <w:tblLook w:firstColumn="1" w:firstRow="1" w:lastColumn="0" w:lastRow="0" w:noHBand="0" w:noVBand="1" w:val="04A0"/>
      </w:tblPr>
      <w:tblGrid>
        <w:gridCol w:w="2880"/>
        <w:gridCol w:w="2880"/>
        <w:gridCol w:w="2880"/>
      </w:tblGrid>
      <w:tr>
        <w:tc>
          <w:tcPr>
            <w:tcW w:type="dxa" w:w="2880"/>
          </w:tcPr>
          <w:p>
            <w:r>
              <w:t>Komponente</w:t>
            </w:r>
          </w:p>
        </w:tc>
        <w:tc>
          <w:tcPr>
            <w:tcW w:type="dxa" w:w="2880"/>
          </w:tcPr>
          <w:p>
            <w:r>
              <w:t>Betrag / Hoehe</w:t>
            </w:r>
          </w:p>
        </w:tc>
        <w:tc>
          <w:tcPr>
            <w:tcW w:type="dxa" w:w="2880"/>
          </w:tcPr>
          <w:p>
            <w:r>
              <w:t>Faelligkeit</w:t>
            </w:r>
          </w:p>
        </w:tc>
      </w:tr>
      <w:tr>
        <w:tc>
          <w:tcPr>
            <w:tcW w:type="dxa" w:w="2880"/>
          </w:tcPr>
          <w:p>
            <w:r>
              <w:t>Einmalige Eintrittsgebuehr</w:t>
            </w:r>
          </w:p>
        </w:tc>
        <w:tc>
          <w:tcPr>
            <w:tcW w:type="dxa" w:w="2880"/>
          </w:tcPr>
          <w:p>
            <w:r>
              <w:t>8.500.000 EUR netto</w:t>
            </w:r>
          </w:p>
        </w:tc>
        <w:tc>
          <w:tcPr>
            <w:tcW w:type="dxa" w:w="2880"/>
          </w:tcPr>
          <w:p>
            <w:r>
              <w:t>30.01.2021</w:t>
            </w:r>
          </w:p>
        </w:tc>
      </w:tr>
      <w:tr>
        <w:tc>
          <w:tcPr>
            <w:tcW w:type="dxa" w:w="2880"/>
          </w:tcPr>
          <w:p>
            <w:r>
              <w:t>Royalty laufend (pro Stueck)</w:t>
            </w:r>
          </w:p>
        </w:tc>
        <w:tc>
          <w:tcPr>
            <w:tcW w:type="dxa" w:w="2880"/>
          </w:tcPr>
          <w:p>
            <w:r>
              <w:t>1,25 EUR / Steuergeraet</w:t>
            </w:r>
          </w:p>
        </w:tc>
        <w:tc>
          <w:tcPr>
            <w:tcW w:type="dxa" w:w="2880"/>
          </w:tcPr>
          <w:p>
            <w:r>
              <w:t>Quartalsweise nachgelagert</w:t>
            </w:r>
          </w:p>
        </w:tc>
      </w:tr>
      <w:tr>
        <w:tc>
          <w:tcPr>
            <w:tcW w:type="dxa" w:w="2880"/>
          </w:tcPr>
          <w:p>
            <w:r>
              <w:t>Mindest-Royalty p.a.</w:t>
            </w:r>
          </w:p>
        </w:tc>
        <w:tc>
          <w:tcPr>
            <w:tcW w:type="dxa" w:w="2880"/>
          </w:tcPr>
          <w:p>
            <w:r>
              <w:t>3.500.000 EUR netto</w:t>
            </w:r>
          </w:p>
        </w:tc>
        <w:tc>
          <w:tcPr>
            <w:tcW w:type="dxa" w:w="2880"/>
          </w:tcPr>
          <w:p>
            <w:r>
              <w:t>31.01.2022 ff.</w:t>
            </w:r>
          </w:p>
        </w:tc>
      </w:tr>
      <w:tr>
        <w:tc>
          <w:tcPr>
            <w:tcW w:type="dxa" w:w="2880"/>
          </w:tcPr>
          <w:p>
            <w:r>
              <w:t>Royalty-Reporting</w:t>
            </w:r>
          </w:p>
        </w:tc>
        <w:tc>
          <w:tcPr>
            <w:tcW w:type="dxa" w:w="2880"/>
          </w:tcPr>
          <w:p>
            <w:r>
              <w:t>Quartalsbericht binnen 45 Tagen</w:t>
            </w:r>
          </w:p>
        </w:tc>
        <w:tc>
          <w:tcPr>
            <w:tcW w:type="dxa" w:w="2880"/>
          </w:tcPr>
          <w:p>
            <w:r>
              <w:t>Selbstdeklaration</w:t>
            </w:r>
          </w:p>
        </w:tc>
      </w:tr>
      <w:tr>
        <w:tc>
          <w:tcPr>
            <w:tcW w:type="dxa" w:w="2880"/>
          </w:tcPr>
          <w:p>
            <w:r>
              <w:t>Audit-Recht Lizenzgeber</w:t>
            </w:r>
          </w:p>
        </w:tc>
        <w:tc>
          <w:tcPr>
            <w:tcW w:type="dxa" w:w="2880"/>
          </w:tcPr>
          <w:p>
            <w:r>
              <w:t>1x pro Jahr (KPMG)</w:t>
            </w:r>
          </w:p>
        </w:tc>
        <w:tc>
          <w:tcPr>
            <w:tcW w:type="dxa" w:w="2880"/>
          </w:tcPr>
          <w:p>
            <w:r>
              <w:t>Pruefung der Reporting-Daten</w:t>
            </w:r>
          </w:p>
        </w:tc>
      </w:tr>
    </w:tbl>
    <w:p>
      <w:pPr>
        <w:pStyle w:val="Heading3"/>
      </w:pPr>
      <w:r>
        <w:t>4. Schutzrechtsverwaltung und Streitfall</w:t>
      </w:r>
    </w:p>
    <w:p>
      <w:r>
        <w:t>Die Brennhagen Elektronik AG verwaltet die Lizenzpatente weiterhin selbst (Aufrechterhaltung, Jahresgebuehren, Verteidigung gegen Einsprueche). Im Fall einer Patentverletzung durch Dritte hat der Lizenzgeber das primaere Klagerecht; der Lizenznehmer unterstuetzt bei Bedarf und kann sich an der Durchsetzung beteiligen. Im Falle eines Streitfalls zwischen den Parteien ist Gerichtsstand Frankfurt am Main; anwendbares Recht ist deutsches Recht (BGB / PatG).</w:t>
      </w:r>
    </w:p>
    <w:p>
      <w:pPr>
        <w:pStyle w:val="Heading3"/>
      </w:pPr>
      <w:r>
        <w:t>5. Vertraulichkeit und Wettbewerbsverbot</w:t>
      </w:r>
    </w:p>
    <w:p>
      <w:r>
        <w:t>Saemtliche im Rahmen dieses Vertrages ausgetauschten Informationen unterliegen einer strengen Vertraulichkeit (15 Jahre nach Vertragsende). Das Lizenz-Know-how und die technischen Spezifikationen sind ausschliesslich fuer den vertraglich vereinbarten Zweck zu verwenden. Der Lizenznehmer verpflichtet sich, keine eigenen Erfindungen, die auf dem Lizenz-Know-how aufbauen, ohne Abstimmung mit der Brennhagen Elektronik AG zum Patent anzumelden (Grant-Back-Klausel).</w:t>
      </w:r>
    </w:p>
    <w:p>
      <w:pPr>
        <w:pStyle w:val="Heading3"/>
      </w:pPr>
      <w:r>
        <w:t>6. Unterschriften</w:t>
      </w:r>
    </w:p>
    <w:p>
      <w:r>
        <w:t>Ort, Datum: Stuttgart, den 15. Februar 2021</w:t>
      </w:r>
    </w:p>
    <w:p>
      <w:r>
        <w:t>_________________________            _________________________</w:t>
        <w:br/>
        <w:t>Anna Mueller                          i.A. BMW Group-Beschaffung</w:t>
        <w:br/>
        <w:t>CEO                          Bevollmaechtigter</w:t>
        <w:br/>
        <w:t>Brennhagen Elektronik AG                       BMW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