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Exportkontroll-Handbuch der Brennhagen Elektronik AG</w:t>
      </w:r>
    </w:p>
    <w:p>
      <w:pPr>
        <w:jc w:val="center"/>
      </w:pPr>
      <w:r>
        <w:t>Konzernrichtlinie zur Exportkontrolle, Stand 2023</w:t>
      </w:r>
    </w:p>
    <w:p/>
    <w:p>
      <w:pPr>
        <w:pStyle w:val="Heading3"/>
      </w:pPr>
      <w:r>
        <w:t>1. Geltungsbereich und Ziel</w:t>
      </w:r>
    </w:p>
    <w:p>
      <w:r>
        <w:t>Das vorliegende Exportkontroll-Handbuch der Brennhagen Elektronik AG und ihrer 100-prozentigen Tochtergesellschaften (REG, RSG, RPL, RCZ, RHU, RCN, RHO) regelt die Einhaltung der nationalen, europaeischen und internationalen Exportkontrollvorschriften bei Lieferungen und Technologie-Transfers. Es konkretisiert die gesetzlichen Anforderungen aus AWG / AWV (Deutschland), EU-Dual-Use-Verordnung 2021/821, EAR (USA, sofern anwendbar) und ITAR (USA, sofern Technologie US-Origin). Das Handbuch ist fuer alle Mitarbeitenden weltweit verbindlich.</w:t>
      </w:r>
    </w:p>
    <w:p>
      <w:pPr>
        <w:pStyle w:val="Heading3"/>
      </w:pPr>
      <w:r>
        <w:t>2. Organisation und Verantwortlichkeiten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Verantwortung</w:t>
            </w:r>
          </w:p>
        </w:tc>
      </w:tr>
      <w:tr>
        <w:tc>
          <w:tcPr>
            <w:tcW w:type="dxa" w:w="2880"/>
          </w:tcPr>
          <w:p>
            <w:r>
              <w:t>Ausfuhrverantwortlicher Konzern</w:t>
            </w:r>
          </w:p>
        </w:tc>
        <w:tc>
          <w:tcPr>
            <w:tcW w:type="dxa" w:w="2880"/>
          </w:tcPr>
          <w:p>
            <w:r>
              <w:t>Laura Bauer (CFO)</w:t>
            </w:r>
          </w:p>
        </w:tc>
        <w:tc>
          <w:tcPr>
            <w:tcW w:type="dxa" w:w="2880"/>
          </w:tcPr>
          <w:p>
            <w:r>
              <w:t>Gesamtverantwortung gem. AWG</w:t>
            </w:r>
          </w:p>
        </w:tc>
      </w:tr>
      <w:tr>
        <w:tc>
          <w:tcPr>
            <w:tcW w:type="dxa" w:w="2880"/>
          </w:tcPr>
          <w:p>
            <w:r>
              <w:t>Exportkontrollbeauftragter</w:t>
            </w:r>
          </w:p>
        </w:tc>
        <w:tc>
          <w:tcPr>
            <w:tcW w:type="dxa" w:w="2880"/>
          </w:tcPr>
          <w:p>
            <w:r>
              <w:t>Dr. Christian Knapp (Compliance)</w:t>
            </w:r>
          </w:p>
        </w:tc>
        <w:tc>
          <w:tcPr>
            <w:tcW w:type="dxa" w:w="2880"/>
          </w:tcPr>
          <w:p>
            <w:r>
              <w:t>Tagesgeschaeft / Klassifikation</w:t>
            </w:r>
          </w:p>
        </w:tc>
      </w:tr>
      <w:tr>
        <w:tc>
          <w:tcPr>
            <w:tcW w:type="dxa" w:w="2880"/>
          </w:tcPr>
          <w:p>
            <w:r>
              <w:t>Stellv. EKB</w:t>
            </w:r>
          </w:p>
        </w:tc>
        <w:tc>
          <w:tcPr>
            <w:tcW w:type="dxa" w:w="2880"/>
          </w:tcPr>
          <w:p>
            <w:r>
              <w:t>Anke Hartmann (Group Trade Comp.)</w:t>
            </w:r>
          </w:p>
        </w:tc>
        <w:tc>
          <w:tcPr>
            <w:tcW w:type="dxa" w:w="2880"/>
          </w:tcPr>
          <w:p>
            <w:r>
              <w:t>Stellvertretung / EU</w:t>
            </w:r>
          </w:p>
        </w:tc>
      </w:tr>
      <w:tr>
        <w:tc>
          <w:tcPr>
            <w:tcW w:type="dxa" w:w="2880"/>
          </w:tcPr>
          <w:p>
            <w:r>
              <w:t>EKB REG (Heilbronn)</w:t>
            </w:r>
          </w:p>
        </w:tc>
        <w:tc>
          <w:tcPr>
            <w:tcW w:type="dxa" w:w="2880"/>
          </w:tcPr>
          <w:p>
            <w:r>
              <w:t>Andreas Maier (Werkleiter)</w:t>
            </w:r>
          </w:p>
        </w:tc>
        <w:tc>
          <w:tcPr>
            <w:tcW w:type="dxa" w:w="2880"/>
          </w:tcPr>
          <w:p>
            <w:r>
              <w:t>Site-Verantwortung</w:t>
            </w:r>
          </w:p>
        </w:tc>
      </w:tr>
      <w:tr>
        <w:tc>
          <w:tcPr>
            <w:tcW w:type="dxa" w:w="2880"/>
          </w:tcPr>
          <w:p>
            <w:r>
              <w:t>EKB RCN (Shanghai)</w:t>
            </w:r>
          </w:p>
        </w:tc>
        <w:tc>
          <w:tcPr>
            <w:tcW w:type="dxa" w:w="2880"/>
          </w:tcPr>
          <w:p>
            <w:r>
              <w:t>Zhang Hao (Country Mgr)</w:t>
            </w:r>
          </w:p>
        </w:tc>
        <w:tc>
          <w:tcPr>
            <w:tcW w:type="dxa" w:w="2880"/>
          </w:tcPr>
          <w:p>
            <w:r>
              <w:t>China-spezifisch / MOFCOM</w:t>
            </w:r>
          </w:p>
        </w:tc>
      </w:tr>
    </w:tbl>
    <w:p>
      <w:pPr>
        <w:pStyle w:val="Heading3"/>
      </w:pPr>
      <w:r>
        <w:t>3. Klassifikation der Produkte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Produkt</w:t>
            </w:r>
          </w:p>
        </w:tc>
        <w:tc>
          <w:tcPr>
            <w:tcW w:type="dxa" w:w="2160"/>
          </w:tcPr>
          <w:p>
            <w:r>
              <w:t>AL-Nr. (Anh. I AWV)</w:t>
            </w:r>
          </w:p>
        </w:tc>
        <w:tc>
          <w:tcPr>
            <w:tcW w:type="dxa" w:w="2160"/>
          </w:tcPr>
          <w:p>
            <w:r>
              <w:t>ECCN (EAR)</w:t>
            </w:r>
          </w:p>
        </w:tc>
        <w:tc>
          <w:tcPr>
            <w:tcW w:type="dxa" w:w="2160"/>
          </w:tcPr>
          <w:p>
            <w:r>
              <w:t>Dual-Use</w:t>
            </w:r>
          </w:p>
        </w:tc>
      </w:tr>
      <w:tr>
        <w:tc>
          <w:tcPr>
            <w:tcW w:type="dxa" w:w="2160"/>
          </w:tcPr>
          <w:p>
            <w:r>
              <w:t>ICP-3 Infotainment</w:t>
            </w:r>
          </w:p>
        </w:tc>
        <w:tc>
          <w:tcPr>
            <w:tcW w:type="dxa" w:w="2160"/>
          </w:tcPr>
          <w:p>
            <w:r>
              <w:t>nicht gelistet</w:t>
            </w:r>
          </w:p>
        </w:tc>
        <w:tc>
          <w:tcPr>
            <w:tcW w:type="dxa" w:w="2160"/>
          </w:tcPr>
          <w:p>
            <w:r>
              <w:t>5A992</w:t>
            </w:r>
          </w:p>
        </w:tc>
        <w:tc>
          <w:tcPr>
            <w:tcW w:type="dxa" w:w="2160"/>
          </w:tcPr>
          <w:p>
            <w:r>
              <w:t>Nein</w:t>
            </w:r>
          </w:p>
        </w:tc>
      </w:tr>
      <w:tr>
        <w:tc>
          <w:tcPr>
            <w:tcW w:type="dxa" w:w="2160"/>
          </w:tcPr>
          <w:p>
            <w:r>
              <w:t>BMS-12 Batteriemanagement</w:t>
            </w:r>
          </w:p>
        </w:tc>
        <w:tc>
          <w:tcPr>
            <w:tcW w:type="dxa" w:w="2160"/>
          </w:tcPr>
          <w:p>
            <w:r>
              <w:t>nicht gelistet</w:t>
            </w:r>
          </w:p>
        </w:tc>
        <w:tc>
          <w:tcPr>
            <w:tcW w:type="dxa" w:w="2160"/>
          </w:tcPr>
          <w:p>
            <w:r>
              <w:t>EAR99</w:t>
            </w:r>
          </w:p>
        </w:tc>
        <w:tc>
          <w:tcPr>
            <w:tcW w:type="dxa" w:w="2160"/>
          </w:tcPr>
          <w:p>
            <w:r>
              <w:t>Nein</w:t>
            </w:r>
          </w:p>
        </w:tc>
      </w:tr>
      <w:tr>
        <w:tc>
          <w:tcPr>
            <w:tcW w:type="dxa" w:w="2160"/>
          </w:tcPr>
          <w:p>
            <w:r>
              <w:t>ADAS-V4D Radar Fusion</w:t>
            </w:r>
          </w:p>
        </w:tc>
        <w:tc>
          <w:tcPr>
            <w:tcW w:type="dxa" w:w="2160"/>
          </w:tcPr>
          <w:p>
            <w:r>
              <w:t>6A008</w:t>
            </w:r>
          </w:p>
        </w:tc>
        <w:tc>
          <w:tcPr>
            <w:tcW w:type="dxa" w:w="2160"/>
          </w:tcPr>
          <w:p>
            <w:r>
              <w:t>6A008</w:t>
            </w:r>
          </w:p>
        </w:tc>
        <w:tc>
          <w:tcPr>
            <w:tcW w:type="dxa" w:w="2160"/>
          </w:tcPr>
          <w:p>
            <w:r>
              <w:t>JA (Kategorie 6 ML)</w:t>
            </w:r>
          </w:p>
        </w:tc>
      </w:tr>
      <w:tr>
        <w:tc>
          <w:tcPr>
            <w:tcW w:type="dxa" w:w="2160"/>
          </w:tcPr>
          <w:p>
            <w:r>
              <w:t>ECU-900 Powertrain ECU</w:t>
            </w:r>
          </w:p>
        </w:tc>
        <w:tc>
          <w:tcPr>
            <w:tcW w:type="dxa" w:w="2160"/>
          </w:tcPr>
          <w:p>
            <w:r>
              <w:t>nicht gelistet</w:t>
            </w:r>
          </w:p>
        </w:tc>
        <w:tc>
          <w:tcPr>
            <w:tcW w:type="dxa" w:w="2160"/>
          </w:tcPr>
          <w:p>
            <w:r>
              <w:t>EAR99</w:t>
            </w:r>
          </w:p>
        </w:tc>
        <w:tc>
          <w:tcPr>
            <w:tcW w:type="dxa" w:w="2160"/>
          </w:tcPr>
          <w:p>
            <w:r>
              <w:t>Nein</w:t>
            </w:r>
          </w:p>
        </w:tc>
      </w:tr>
      <w:tr>
        <w:tc>
          <w:tcPr>
            <w:tcW w:type="dxa" w:w="2160"/>
          </w:tcPr>
          <w:p>
            <w:r>
              <w:t>LightCtrl-7</w:t>
            </w:r>
          </w:p>
        </w:tc>
        <w:tc>
          <w:tcPr>
            <w:tcW w:type="dxa" w:w="2160"/>
          </w:tcPr>
          <w:p>
            <w:r>
              <w:t>nicht gelistet</w:t>
            </w:r>
          </w:p>
        </w:tc>
        <w:tc>
          <w:tcPr>
            <w:tcW w:type="dxa" w:w="2160"/>
          </w:tcPr>
          <w:p>
            <w:r>
              <w:t>EAR99</w:t>
            </w:r>
          </w:p>
        </w:tc>
        <w:tc>
          <w:tcPr>
            <w:tcW w:type="dxa" w:w="2160"/>
          </w:tcPr>
          <w:p>
            <w:r>
              <w:t>Nein</w:t>
            </w:r>
          </w:p>
        </w:tc>
      </w:tr>
    </w:tbl>
    <w:p>
      <w:pPr>
        <w:pStyle w:val="Heading3"/>
      </w:pPr>
      <w:r>
        <w:t>4. Genehmigungspflichtige Geschaefte</w:t>
      </w:r>
    </w:p>
    <w:p>
      <w:pPr>
        <w:pStyle w:val="ListBullet"/>
      </w:pPr>
      <w:r>
        <w:t>Lieferungen des ADAS-V4D in Drittlaender ausserhalb EU sind BAFA-genehmigungspflichtig (Allgemeine Ausfuhrgenehmigung AGG-15 nutzbar fuer USA, JP, KR, AU).</w:t>
      </w:r>
    </w:p>
    <w:p>
      <w:pPr>
        <w:pStyle w:val="ListBullet"/>
      </w:pPr>
      <w:r>
        <w:t>Lieferungen nach China (CN) und Russland (RU) unterliegen verschaerften Pruefungen; Russland-Exporte sind aktuell vollstaendig ausgesetzt (EU-Sanktionen 833/2014 ff.).</w:t>
      </w:r>
    </w:p>
    <w:p>
      <w:pPr>
        <w:pStyle w:val="ListBullet"/>
      </w:pPr>
      <w:r>
        <w:t>Technologie-Transfer (Source-Code, Spezifikationen) ueber EU-Aussengrenzen erfordert vorherige Pruefung gemaess Anhang I EU-Dual-Use-VO.</w:t>
      </w:r>
    </w:p>
    <w:p>
      <w:pPr>
        <w:pStyle w:val="ListBullet"/>
      </w:pPr>
      <w:r>
        <w:t>Embargo-Lander (Iran, Nordkorea, Syrien) sind ausgeschlossen.</w:t>
      </w:r>
    </w:p>
    <w:p>
      <w:pPr>
        <w:pStyle w:val="ListBullet"/>
      </w:pPr>
      <w:r>
        <w:t>US-Personen-Restriktionen (Denied-Persons-List, SDN-List) sind ueber MK-Tool monatlich gegen Kundenstamm zu pruefen.</w:t>
      </w:r>
    </w:p>
    <w:p>
      <w:pPr>
        <w:pStyle w:val="Heading3"/>
      </w:pPr>
      <w:r>
        <w:t>5. Prozesse</w:t>
      </w:r>
    </w:p>
    <w:p>
      <w:r>
        <w:t>Vor jeder Auftragsannahme erfolgt eine automatisierte Pruefung in SAP GTS (Global Trade Services) gegen Sanktionslisten sowie die Klassifikation der Ware/Technologie. Im Zweifelsfall erfolgt eine manuelle Pruefung durch den Exportkontroll-beauftragten (Dr. Christian Knapp). Bei genehmigungspflichtigen Geschaeften ist eine Einzelausfuhrgenehmigung (E-AGG) beim BAFA zu beantragen (Bearbeitungszeit i.d.R. 4-8 Wochen).</w:t>
      </w:r>
    </w:p>
    <w:p>
      <w:pPr>
        <w:pStyle w:val="Heading3"/>
      </w:pPr>
      <w:r>
        <w:t>6. Schulung und Audit</w:t>
      </w:r>
    </w:p>
    <w:p>
      <w:r>
        <w:t>Alle Mitarbeitenden in Vertrieb, Einkauf, Versand und Engineering durchlaufen jaehrlich ein verpflichtendes Exportkontroll-E-Learning. Externe Audits durch KPMG (im Rahmen der Jahresabschlusspruefung) erfolgen jaehrlich. Bei Verstoessen drohen empfindliche Bussgelder (bis 500.000 EUR je Einzelfall) sowie strafrechtliche Konsequenzen (§§ 17, 18 AWG).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