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RFQ-Antwort Mercedes-Benz – ADAS-V4D Radar-Fusion</w:t>
      </w:r>
    </w:p>
    <w:p>
      <w:pPr>
        <w:jc w:val="center"/>
      </w:pPr>
      <w:r>
        <w:t>Angebot zur Lieferung ADAS-V4D fuer Mercedes-Benz EQS / EQE / S-Klasse, Stand 2022</w:t>
      </w:r>
    </w:p>
    <w:p/>
    <w:p>
      <w:pPr>
        <w:pStyle w:val="Heading3"/>
      </w:pPr>
      <w:r>
        <w:t>1. Empfaenger und Bezug</w:t>
      </w:r>
    </w:p>
    <w:p>
      <w:r>
        <w:t>An: Mercedes-Benz AG, Einkauf Elektronik, Herr Dr. Carsten Brendel (Senior Buyer), Mercedesstrasse 137, 70327 Stuttgart. Bezug: RFQ Nr. MB-RFQ-22-0847 vom 14.04.2022 betreffend Lieferung ADAS Radar-Fusion-Steuergeraet (Stuecklistennr. A1670500715) fuer die Modellfamilien EQS (V297), EQE (V295) und S-Klasse Facelift (W223 MOPF).</w:t>
      </w:r>
    </w:p>
    <w:p>
      <w:pPr>
        <w:pStyle w:val="Heading3"/>
      </w:pPr>
      <w:r>
        <w:t>2. Angebot - Produkt und Spezifikation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ADAS-V4D Radar-Fusion-Steuergeraet</w:t>
            </w:r>
          </w:p>
        </w:tc>
      </w:tr>
      <w:tr>
        <w:tc>
          <w:tcPr>
            <w:tcW w:type="dxa" w:w="4320"/>
          </w:tcPr>
          <w:p>
            <w:r>
              <w:t>Variante</w:t>
            </w:r>
          </w:p>
        </w:tc>
        <w:tc>
          <w:tcPr>
            <w:tcW w:type="dxa" w:w="4320"/>
          </w:tcPr>
          <w:p>
            <w:r>
              <w:t>MBZ-spezifisch (V297/V295/W223)</w:t>
            </w:r>
          </w:p>
        </w:tc>
      </w:tr>
      <w:tr>
        <w:tc>
          <w:tcPr>
            <w:tcW w:type="dxa" w:w="4320"/>
          </w:tcPr>
          <w:p>
            <w:r>
              <w:t>Anlauf-/SOP-Termin</w:t>
            </w:r>
          </w:p>
        </w:tc>
        <w:tc>
          <w:tcPr>
            <w:tcW w:type="dxa" w:w="4320"/>
          </w:tcPr>
          <w:p>
            <w:r>
              <w:t>Q2 2024 (EQS), Q3 2024 (EQE), Q4 2024 (W223)</w:t>
            </w:r>
          </w:p>
        </w:tc>
      </w:tr>
      <w:tr>
        <w:tc>
          <w:tcPr>
            <w:tcW w:type="dxa" w:w="4320"/>
          </w:tcPr>
          <w:p>
            <w:r>
              <w:t>Geplanter Jahresvolumen-Mix</w:t>
            </w:r>
          </w:p>
        </w:tc>
        <w:tc>
          <w:tcPr>
            <w:tcW w:type="dxa" w:w="4320"/>
          </w:tcPr>
          <w:p>
            <w:r>
              <w:t>EQS 38k; EQE 52k; S-Klasse 28k = 118k p.a.</w:t>
            </w:r>
          </w:p>
        </w:tc>
      </w:tr>
      <w:tr>
        <w:tc>
          <w:tcPr>
            <w:tcW w:type="dxa" w:w="4320"/>
          </w:tcPr>
          <w:p>
            <w:r>
              <w:t>Stueckpreis (Plan)</w:t>
            </w:r>
          </w:p>
        </w:tc>
        <w:tc>
          <w:tcPr>
            <w:tcW w:type="dxa" w:w="4320"/>
          </w:tcPr>
          <w:p>
            <w:r>
              <w:t>412,50 EUR netto (CIP Sindelfingen)</w:t>
            </w:r>
          </w:p>
        </w:tc>
      </w:tr>
      <w:tr>
        <w:tc>
          <w:tcPr>
            <w:tcW w:type="dxa" w:w="4320"/>
          </w:tcPr>
          <w:p>
            <w:r>
              <w:t>Werkzeugkostenanteil (NRE)</w:t>
            </w:r>
          </w:p>
        </w:tc>
        <w:tc>
          <w:tcPr>
            <w:tcW w:type="dxa" w:w="4320"/>
          </w:tcPr>
          <w:p>
            <w:r>
              <w:t>4,2 Mio. EUR einmalig</w:t>
            </w:r>
          </w:p>
        </w:tc>
      </w:tr>
      <w:tr>
        <w:tc>
          <w:tcPr>
            <w:tcW w:type="dxa" w:w="4320"/>
          </w:tcPr>
          <w:p>
            <w:r>
              <w:t>Vertragslaufzeit</w:t>
            </w:r>
          </w:p>
        </w:tc>
        <w:tc>
          <w:tcPr>
            <w:tcW w:type="dxa" w:w="4320"/>
          </w:tcPr>
          <w:p>
            <w:r>
              <w:t>6 Jahre (Lifetime Build)</w:t>
            </w:r>
          </w:p>
        </w:tc>
      </w:tr>
      <w:tr>
        <w:tc>
          <w:tcPr>
            <w:tcW w:type="dxa" w:w="4320"/>
          </w:tcPr>
          <w:p>
            <w:r>
              <w:t>Quality Target</w:t>
            </w:r>
          </w:p>
        </w:tc>
        <w:tc>
          <w:tcPr>
            <w:tcW w:type="dxa" w:w="4320"/>
          </w:tcPr>
          <w:p>
            <w:r>
              <w:t>PPM &lt; 5 (Field)</w:t>
            </w:r>
          </w:p>
        </w:tc>
      </w:tr>
      <w:tr>
        <w:tc>
          <w:tcPr>
            <w:tcW w:type="dxa" w:w="4320"/>
          </w:tcPr>
          <w:p>
            <w:r>
              <w:t>Funktionssicherheit</w:t>
            </w:r>
          </w:p>
        </w:tc>
        <w:tc>
          <w:tcPr>
            <w:tcW w:type="dxa" w:w="4320"/>
          </w:tcPr>
          <w:p>
            <w:r>
              <w:t>ASIL-D (ISO 26262)</w:t>
            </w:r>
          </w:p>
        </w:tc>
      </w:tr>
    </w:tbl>
    <w:p>
      <w:pPr>
        <w:pStyle w:val="Heading3"/>
      </w:pPr>
      <w:r>
        <w:t>3. Technische Erfuellung der Anforderungen</w:t>
      </w:r>
    </w:p>
    <w:p>
      <w:r>
        <w:t>Das angebotene ADAS-V4D-Steuergeraet erfuellt die im RFQ-Lastenheft MB-LASTENHEFT-ADAS-V4D-V1.2 spezifizierten Anforderungen vollumfaenglich. Insbesondere werden die folgenden Schluessel-Anforderungen erfuellt: 4D-Radar mit 77 GHz, 4-fach Kamera-Fusion, Latenz &lt; 60 ms, Sensor-Fusion-Update-Rate 50 Hz, ASIL-D fuer Notbrems-Funktionen, ISO/SAE 21434 Cybersecurity, AUTOSAR Classic 4.3, Diagnose UDS / DoIP, OTA-faehig. Das Steuergeraet basiert auf den REA-Patenten Nr. 02 (Kamerasystem 4D-Radarfusion), Nr. 06 (Selbstkalibrierendes Sensorsystem) und Nr. 09 (Spurwechsel-Detektion).</w:t>
      </w:r>
    </w:p>
    <w:p>
      <w:pPr>
        <w:pStyle w:val="Heading3"/>
      </w:pPr>
      <w:r>
        <w:t>4. Kommerzielle Konditionen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Wert</w:t>
            </w:r>
          </w:p>
        </w:tc>
        <w:tc>
          <w:tcPr>
            <w:tcW w:type="dxa" w:w="2880"/>
          </w:tcPr>
          <w:p>
            <w:r>
              <w:t>Hinweis</w:t>
            </w:r>
          </w:p>
        </w:tc>
      </w:tr>
      <w:tr>
        <w:tc>
          <w:tcPr>
            <w:tcW w:type="dxa" w:w="2880"/>
          </w:tcPr>
          <w:p>
            <w:r>
              <w:t>Stueckpreis EXW (incl. Software)</w:t>
            </w:r>
          </w:p>
        </w:tc>
        <w:tc>
          <w:tcPr>
            <w:tcW w:type="dxa" w:w="2880"/>
          </w:tcPr>
          <w:p>
            <w:r>
              <w:t>412,50 EUR</w:t>
            </w:r>
          </w:p>
        </w:tc>
        <w:tc>
          <w:tcPr>
            <w:tcW w:type="dxa" w:w="2880"/>
          </w:tcPr>
          <w:p>
            <w:r>
              <w:t>Eskalationsklausel CHF/USD</w:t>
            </w:r>
          </w:p>
        </w:tc>
      </w:tr>
      <w:tr>
        <w:tc>
          <w:tcPr>
            <w:tcW w:type="dxa" w:w="2880"/>
          </w:tcPr>
          <w:p>
            <w:r>
              <w:t>Werkzeugkosten / NRE</w:t>
            </w:r>
          </w:p>
        </w:tc>
        <w:tc>
          <w:tcPr>
            <w:tcW w:type="dxa" w:w="2880"/>
          </w:tcPr>
          <w:p>
            <w:r>
              <w:t>4,2 Mio. EUR</w:t>
            </w:r>
          </w:p>
        </w:tc>
        <w:tc>
          <w:tcPr>
            <w:tcW w:type="dxa" w:w="2880"/>
          </w:tcPr>
          <w:p>
            <w:r>
              <w:t>Einmalig vor SOP</w:t>
            </w:r>
          </w:p>
        </w:tc>
      </w:tr>
      <w:tr>
        <w:tc>
          <w:tcPr>
            <w:tcW w:type="dxa" w:w="2880"/>
          </w:tcPr>
          <w:p>
            <w:r>
              <w:t>Zahlungsziel</w:t>
            </w:r>
          </w:p>
        </w:tc>
        <w:tc>
          <w:tcPr>
            <w:tcW w:type="dxa" w:w="2880"/>
          </w:tcPr>
          <w:p>
            <w:r>
              <w:t>60 Tage netto</w:t>
            </w:r>
          </w:p>
        </w:tc>
        <w:tc>
          <w:tcPr>
            <w:tcW w:type="dxa" w:w="2880"/>
          </w:tcPr>
          <w:p>
            <w:r>
              <w:t>Mercedes-Benz Standard</w:t>
            </w:r>
          </w:p>
        </w:tc>
      </w:tr>
      <w:tr>
        <w:tc>
          <w:tcPr>
            <w:tcW w:type="dxa" w:w="2880"/>
          </w:tcPr>
          <w:p>
            <w:r>
              <w:t>Waehrung</w:t>
            </w:r>
          </w:p>
        </w:tc>
        <w:tc>
          <w:tcPr>
            <w:tcW w:type="dxa" w:w="2880"/>
          </w:tcPr>
          <w:p>
            <w:r>
              <w:t>EUR</w:t>
            </w:r>
          </w:p>
        </w:tc>
        <w:tc>
          <w:tcPr>
            <w:tcW w:type="dxa" w:w="2880"/>
          </w:tcPr>
          <w:p>
            <w:r>
              <w:t>Hedging via Group Treasury</w:t>
            </w:r>
          </w:p>
        </w:tc>
      </w:tr>
      <w:tr>
        <w:tc>
          <w:tcPr>
            <w:tcW w:type="dxa" w:w="2880"/>
          </w:tcPr>
          <w:p>
            <w:r>
              <w:t>Liefer-Incoterm</w:t>
            </w:r>
          </w:p>
        </w:tc>
        <w:tc>
          <w:tcPr>
            <w:tcW w:type="dxa" w:w="2880"/>
          </w:tcPr>
          <w:p>
            <w:r>
              <w:t>CIP Sindelfingen</w:t>
            </w:r>
          </w:p>
        </w:tc>
        <w:tc>
          <w:tcPr>
            <w:tcW w:type="dxa" w:w="2880"/>
          </w:tcPr>
          <w:p>
            <w:r>
              <w:t>Incoterms 2020</w:t>
            </w:r>
          </w:p>
        </w:tc>
      </w:tr>
      <w:tr>
        <w:tc>
          <w:tcPr>
            <w:tcW w:type="dxa" w:w="2880"/>
          </w:tcPr>
          <w:p>
            <w:r>
              <w:t>Garantie / Gewaehrleistung</w:t>
            </w:r>
          </w:p>
        </w:tc>
        <w:tc>
          <w:tcPr>
            <w:tcW w:type="dxa" w:w="2880"/>
          </w:tcPr>
          <w:p>
            <w:r>
              <w:t>60 Monate ab SOP</w:t>
            </w:r>
          </w:p>
        </w:tc>
        <w:tc>
          <w:tcPr>
            <w:tcW w:type="dxa" w:w="2880"/>
          </w:tcPr>
          <w:p>
            <w:r>
              <w:t>Lifetime Build</w:t>
            </w:r>
          </w:p>
        </w:tc>
      </w:tr>
      <w:tr>
        <w:tc>
          <w:tcPr>
            <w:tcW w:type="dxa" w:w="2880"/>
          </w:tcPr>
          <w:p>
            <w:r>
              <w:t>Preisstabilitaet</w:t>
            </w:r>
          </w:p>
        </w:tc>
        <w:tc>
          <w:tcPr>
            <w:tcW w:type="dxa" w:w="2880"/>
          </w:tcPr>
          <w:p>
            <w:r>
              <w:t>24 Monate</w:t>
            </w:r>
          </w:p>
        </w:tc>
        <w:tc>
          <w:tcPr>
            <w:tcW w:type="dxa" w:w="2880"/>
          </w:tcPr>
          <w:p>
            <w:r>
              <w:t>Material-Index-Klausel ab Mt. 25</w:t>
            </w:r>
          </w:p>
        </w:tc>
      </w:tr>
    </w:tbl>
    <w:p>
      <w:pPr>
        <w:pStyle w:val="Heading3"/>
      </w:pPr>
      <w:r>
        <w:t>5. Risiken und Annahmen</w:t>
      </w:r>
    </w:p>
    <w:p>
      <w:r>
        <w:t>Das Angebot steht unter folgenden Vorbehalten: (a) Verfuegbarkeit Halbleiter (insb. Infineon Aurix TC397, Radarchip TI AWR2944) gemaess Allocation Q3 2022, (b) Konstanz der Rohstoffpreise +/- 8 %, (c) Bestaetigung der Validierungs-Anforderungen durch MBZ-Engineering bis 31.10.2022. Bei wesentlichen Aenderungen behaelt sich REA eine Preisanpassung vor. Vertragspartner ist die Brennhagen Elektronik AG; Liefer- und Produktionswerk ist REG Heilbronn (Mainstream) bzw. RSG Muenchen (Software).</w:t>
      </w:r>
    </w:p>
    <w:p>
      <w:pPr>
        <w:pStyle w:val="Heading3"/>
      </w:pPr>
      <w:r>
        <w:t>6. Anlagen und naechste Schritte</w:t>
      </w:r>
    </w:p>
    <w:p>
      <w:pPr>
        <w:pStyle w:val="ListBullet"/>
      </w:pPr>
      <w:r>
        <w:t>Anlage 1: Detail-Spezifikation ADAS-V4D MBZ-Variante (52 Seiten)</w:t>
      </w:r>
    </w:p>
    <w:p>
      <w:pPr>
        <w:pStyle w:val="ListBullet"/>
      </w:pPr>
      <w:r>
        <w:t>Anlage 2: Kalkulationsblatt (vertraulich, separat uebermittelt)</w:t>
      </w:r>
    </w:p>
    <w:p>
      <w:pPr>
        <w:pStyle w:val="ListBullet"/>
      </w:pPr>
      <w:r>
        <w:t>Anlage 3: Validierungs-/Pruefplan (EMV, Klima, FuSi)</w:t>
      </w:r>
    </w:p>
    <w:p>
      <w:pPr>
        <w:pStyle w:val="ListBullet"/>
      </w:pPr>
      <w:r>
        <w:t>Anlage 4: Roadmap Software-Releases bis Lifetime End</w:t>
      </w:r>
    </w:p>
    <w:p>
      <w:pPr>
        <w:pStyle w:val="ListBullet"/>
      </w:pPr>
      <w:r>
        <w:t>Anlage 5: Lieferkonditionen-Anhang (Logistik, IGM 30.09.2022)</w:t>
      </w:r>
    </w:p>
    <w:p>
      <w:pPr>
        <w:pStyle w:val="ListBullet"/>
      </w:pPr>
      <w:r>
        <w:t>Naechste Schritte: Technische Klaerung 18.05., kaufm. Klaerung 25.05., Letter of Intent angestrebt bis 30.06.2022.</w:t>
      </w:r>
    </w:p>
    <w:p>
      <w:pPr>
        <w:pStyle w:val="Heading3"/>
      </w:pPr>
      <w:r>
        <w:t>7. Unterschrift</w:t>
      </w:r>
    </w:p>
    <w:p>
      <w:r>
        <w:t>Ort, Datum: Stuttgart, den 06. Mai 2022</w:t>
      </w:r>
    </w:p>
    <w:p>
      <w:r>
        <w:t>_________________________            _________________________</w:t>
        <w:br/>
        <w:t>Stefan Richter                          Stefan Hoffmann</w:t>
        <w:br/>
        <w:t>CMO / BD                          CTO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