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Open-Source-Compliance Report 2023</w:t>
      </w:r>
    </w:p>
    <w:p>
      <w:pPr>
        <w:jc w:val="center"/>
      </w:pPr>
      <w:r>
        <w:t>Konzernbericht zu Open-Source-Software-Compliance, Stand 31.12.2023</w:t>
      </w:r>
    </w:p>
    <w:p/>
    <w:p>
      <w:pPr>
        <w:pStyle w:val="Heading3"/>
      </w:pPr>
      <w:r>
        <w:t>1. Zusammenfassung</w:t>
      </w:r>
    </w:p>
    <w:p>
      <w:r>
        <w:t>Im Berichtsjahr 2023 hat die Brennhagen Elektronik AG ihre Open-Source-Compliance-Strategie weiter ausgebaut und konsolidiert. Es sind in den Produkten ICP-3, ADAS-V4D, BMS-12, ECU-900 und LightCtrl-7 insgesamt 1.847 Open-Source-Komponenten identifiziert (+ 12 % ggue. Vorjahr). 100 % der Komponenten sind im konzernweiten SBOM-Repository (Software Bill of Materials, Tool: WhiteSource Mend) verzeichnet. Die Compliance-Quote betraegt 98,7 % (Vorjahr 96,2 %).</w:t>
      </w:r>
    </w:p>
    <w:p>
      <w:pPr>
        <w:pStyle w:val="Heading3"/>
      </w:pPr>
      <w:r>
        <w:t>2. Organisation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Verantwortung</w:t>
            </w:r>
          </w:p>
        </w:tc>
      </w:tr>
      <w:tr>
        <w:tc>
          <w:tcPr>
            <w:tcW w:type="dxa" w:w="2880"/>
          </w:tcPr>
          <w:p>
            <w:r>
              <w:t>Konzern-OSS-Officer</w:t>
            </w:r>
          </w:p>
        </w:tc>
        <w:tc>
          <w:tcPr>
            <w:tcW w:type="dxa" w:w="2880"/>
          </w:tcPr>
          <w:p>
            <w:r>
              <w:t>Lars Wittmann (RSG)</w:t>
            </w:r>
          </w:p>
        </w:tc>
        <w:tc>
          <w:tcPr>
            <w:tcW w:type="dxa" w:w="2880"/>
          </w:tcPr>
          <w:p>
            <w:r>
              <w:t>Strategie / OSPO-Leitung</w:t>
            </w:r>
          </w:p>
        </w:tc>
      </w:tr>
      <w:tr>
        <w:tc>
          <w:tcPr>
            <w:tcW w:type="dxa" w:w="2880"/>
          </w:tcPr>
          <w:p>
            <w:r>
              <w:t>OSS-Tool-Owner</w:t>
            </w:r>
          </w:p>
        </w:tc>
        <w:tc>
          <w:tcPr>
            <w:tcW w:type="dxa" w:w="2880"/>
          </w:tcPr>
          <w:p>
            <w:r>
              <w:t>Maximilian Knecht (RSG)</w:t>
            </w:r>
          </w:p>
        </w:tc>
        <w:tc>
          <w:tcPr>
            <w:tcW w:type="dxa" w:w="2880"/>
          </w:tcPr>
          <w:p>
            <w:r>
              <w:t>WhiteSource / SBOM</w:t>
            </w:r>
          </w:p>
        </w:tc>
      </w:tr>
      <w:tr>
        <w:tc>
          <w:tcPr>
            <w:tcW w:type="dxa" w:w="2880"/>
          </w:tcPr>
          <w:p>
            <w:r>
              <w:t>Legal-Lead OSS</w:t>
            </w:r>
          </w:p>
        </w:tc>
        <w:tc>
          <w:tcPr>
            <w:tcW w:type="dxa" w:w="2880"/>
          </w:tcPr>
          <w:p>
            <w:r>
              <w:t>Sarah Bittner (Konzernrecht)</w:t>
            </w:r>
          </w:p>
        </w:tc>
        <w:tc>
          <w:tcPr>
            <w:tcW w:type="dxa" w:w="2880"/>
          </w:tcPr>
          <w:p>
            <w:r>
              <w:t>Lizenz-Pruefung</w:t>
            </w:r>
          </w:p>
        </w:tc>
      </w:tr>
      <w:tr>
        <w:tc>
          <w:tcPr>
            <w:tcW w:type="dxa" w:w="2880"/>
          </w:tcPr>
          <w:p>
            <w:r>
              <w:t>Engineering-Lead</w:t>
            </w:r>
          </w:p>
        </w:tc>
        <w:tc>
          <w:tcPr>
            <w:tcW w:type="dxa" w:w="2880"/>
          </w:tcPr>
          <w:p>
            <w:r>
              <w:t>Dr. Klaus Kessler (RSG)</w:t>
            </w:r>
          </w:p>
        </w:tc>
        <w:tc>
          <w:tcPr>
            <w:tcW w:type="dxa" w:w="2880"/>
          </w:tcPr>
          <w:p>
            <w:r>
              <w:t>Embedded-Stack</w:t>
            </w:r>
          </w:p>
        </w:tc>
      </w:tr>
      <w:tr>
        <w:tc>
          <w:tcPr>
            <w:tcW w:type="dxa" w:w="2880"/>
          </w:tcPr>
          <w:p>
            <w:r>
              <w:t>Audit-Lead</w:t>
            </w:r>
          </w:p>
        </w:tc>
        <w:tc>
          <w:tcPr>
            <w:tcW w:type="dxa" w:w="2880"/>
          </w:tcPr>
          <w:p>
            <w:r>
              <w:t>Andreas Buehler (Internal Audit)</w:t>
            </w:r>
          </w:p>
        </w:tc>
        <w:tc>
          <w:tcPr>
            <w:tcW w:type="dxa" w:w="2880"/>
          </w:tcPr>
          <w:p>
            <w:r>
              <w:t>Quartals-Audit</w:t>
            </w:r>
          </w:p>
        </w:tc>
      </w:tr>
    </w:tbl>
    <w:p>
      <w:pPr>
        <w:pStyle w:val="Heading3"/>
      </w:pPr>
      <w:r>
        <w:t>3. Lizenz-Verteilung (Top-10)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Lizenz</w:t>
            </w:r>
          </w:p>
        </w:tc>
        <w:tc>
          <w:tcPr>
            <w:tcW w:type="dxa" w:w="2160"/>
          </w:tcPr>
          <w:p>
            <w:r>
              <w:t>Anzahl Komponenten</w:t>
            </w:r>
          </w:p>
        </w:tc>
        <w:tc>
          <w:tcPr>
            <w:tcW w:type="dxa" w:w="2160"/>
          </w:tcPr>
          <w:p>
            <w:r>
              <w:t>Anteil</w:t>
            </w:r>
          </w:p>
        </w:tc>
        <w:tc>
          <w:tcPr>
            <w:tcW w:type="dxa" w:w="2160"/>
          </w:tcPr>
          <w:p>
            <w:r>
              <w:t>Kritikalitaet</w:t>
            </w:r>
          </w:p>
        </w:tc>
      </w:tr>
      <w:tr>
        <w:tc>
          <w:tcPr>
            <w:tcW w:type="dxa" w:w="2160"/>
          </w:tcPr>
          <w:p>
            <w:r>
              <w:t>MIT</w:t>
            </w:r>
          </w:p>
        </w:tc>
        <w:tc>
          <w:tcPr>
            <w:tcW w:type="dxa" w:w="2160"/>
          </w:tcPr>
          <w:p>
            <w:r>
              <w:t>642</w:t>
            </w:r>
          </w:p>
        </w:tc>
        <w:tc>
          <w:tcPr>
            <w:tcW w:type="dxa" w:w="2160"/>
          </w:tcPr>
          <w:p>
            <w:r>
              <w:t>34,8 %</w:t>
            </w:r>
          </w:p>
        </w:tc>
        <w:tc>
          <w:tcPr>
            <w:tcW w:type="dxa" w:w="2160"/>
          </w:tcPr>
          <w:p>
            <w:r>
              <w:t>GERING</w:t>
            </w:r>
          </w:p>
        </w:tc>
      </w:tr>
      <w:tr>
        <w:tc>
          <w:tcPr>
            <w:tcW w:type="dxa" w:w="2160"/>
          </w:tcPr>
          <w:p>
            <w:r>
              <w:t>Apache-2.0</w:t>
            </w:r>
          </w:p>
        </w:tc>
        <w:tc>
          <w:tcPr>
            <w:tcW w:type="dxa" w:w="2160"/>
          </w:tcPr>
          <w:p>
            <w:r>
              <w:t>489</w:t>
            </w:r>
          </w:p>
        </w:tc>
        <w:tc>
          <w:tcPr>
            <w:tcW w:type="dxa" w:w="2160"/>
          </w:tcPr>
          <w:p>
            <w:r>
              <w:t>26,5 %</w:t>
            </w:r>
          </w:p>
        </w:tc>
        <w:tc>
          <w:tcPr>
            <w:tcW w:type="dxa" w:w="2160"/>
          </w:tcPr>
          <w:p>
            <w:r>
              <w:t>GERING</w:t>
            </w:r>
          </w:p>
        </w:tc>
      </w:tr>
      <w:tr>
        <w:tc>
          <w:tcPr>
            <w:tcW w:type="dxa" w:w="2160"/>
          </w:tcPr>
          <w:p>
            <w:r>
              <w:t>BSD-3-Clause</w:t>
            </w:r>
          </w:p>
        </w:tc>
        <w:tc>
          <w:tcPr>
            <w:tcW w:type="dxa" w:w="2160"/>
          </w:tcPr>
          <w:p>
            <w:r>
              <w:t>238</w:t>
            </w:r>
          </w:p>
        </w:tc>
        <w:tc>
          <w:tcPr>
            <w:tcW w:type="dxa" w:w="2160"/>
          </w:tcPr>
          <w:p>
            <w:r>
              <w:t>12,9 %</w:t>
            </w:r>
          </w:p>
        </w:tc>
        <w:tc>
          <w:tcPr>
            <w:tcW w:type="dxa" w:w="2160"/>
          </w:tcPr>
          <w:p>
            <w:r>
              <w:t>GERING</w:t>
            </w:r>
          </w:p>
        </w:tc>
      </w:tr>
      <w:tr>
        <w:tc>
          <w:tcPr>
            <w:tcW w:type="dxa" w:w="2160"/>
          </w:tcPr>
          <w:p>
            <w:r>
              <w:t>LGPL-2.1</w:t>
            </w:r>
          </w:p>
        </w:tc>
        <w:tc>
          <w:tcPr>
            <w:tcW w:type="dxa" w:w="2160"/>
          </w:tcPr>
          <w:p>
            <w:r>
              <w:t>187</w:t>
            </w:r>
          </w:p>
        </w:tc>
        <w:tc>
          <w:tcPr>
            <w:tcW w:type="dxa" w:w="2160"/>
          </w:tcPr>
          <w:p>
            <w:r>
              <w:t>10,1 %</w:t>
            </w:r>
          </w:p>
        </w:tc>
        <w:tc>
          <w:tcPr>
            <w:tcW w:type="dxa" w:w="2160"/>
          </w:tcPr>
          <w:p>
            <w:r>
              <w:t>MITTEL (dynamic linking ok)</w:t>
            </w:r>
          </w:p>
        </w:tc>
      </w:tr>
      <w:tr>
        <w:tc>
          <w:tcPr>
            <w:tcW w:type="dxa" w:w="2160"/>
          </w:tcPr>
          <w:p>
            <w:r>
              <w:t>GPL-2.0</w:t>
            </w:r>
          </w:p>
        </w:tc>
        <w:tc>
          <w:tcPr>
            <w:tcW w:type="dxa" w:w="2160"/>
          </w:tcPr>
          <w:p>
            <w:r>
              <w:t>98</w:t>
            </w:r>
          </w:p>
        </w:tc>
        <w:tc>
          <w:tcPr>
            <w:tcW w:type="dxa" w:w="2160"/>
          </w:tcPr>
          <w:p>
            <w:r>
              <w:t>5,3 %</w:t>
            </w:r>
          </w:p>
        </w:tc>
        <w:tc>
          <w:tcPr>
            <w:tcW w:type="dxa" w:w="2160"/>
          </w:tcPr>
          <w:p>
            <w:r>
              <w:t>HOCH (nur Kernel/Bootloader)</w:t>
            </w:r>
          </w:p>
        </w:tc>
      </w:tr>
      <w:tr>
        <w:tc>
          <w:tcPr>
            <w:tcW w:type="dxa" w:w="2160"/>
          </w:tcPr>
          <w:p>
            <w:r>
              <w:t>MPL-2.0</w:t>
            </w:r>
          </w:p>
        </w:tc>
        <w:tc>
          <w:tcPr>
            <w:tcW w:type="dxa" w:w="2160"/>
          </w:tcPr>
          <w:p>
            <w:r>
              <w:t>67</w:t>
            </w:r>
          </w:p>
        </w:tc>
        <w:tc>
          <w:tcPr>
            <w:tcW w:type="dxa" w:w="2160"/>
          </w:tcPr>
          <w:p>
            <w:r>
              <w:t>3,6 %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</w:tr>
      <w:tr>
        <w:tc>
          <w:tcPr>
            <w:tcW w:type="dxa" w:w="2160"/>
          </w:tcPr>
          <w:p>
            <w:r>
              <w:t>EPL-2.0</w:t>
            </w:r>
          </w:p>
        </w:tc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2,4 %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</w:tr>
      <w:tr>
        <w:tc>
          <w:tcPr>
            <w:tcW w:type="dxa" w:w="2160"/>
          </w:tcPr>
          <w:p>
            <w:r>
              <w:t>GPL-3.0</w:t>
            </w:r>
          </w:p>
        </w:tc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1,7 %</w:t>
            </w:r>
          </w:p>
        </w:tc>
        <w:tc>
          <w:tcPr>
            <w:tcW w:type="dxa" w:w="2160"/>
          </w:tcPr>
          <w:p>
            <w:r>
              <w:t>HOCH (vermeiden in Linkage)</w:t>
            </w:r>
          </w:p>
        </w:tc>
      </w:tr>
      <w:tr>
        <w:tc>
          <w:tcPr>
            <w:tcW w:type="dxa" w:w="2160"/>
          </w:tcPr>
          <w:p>
            <w:r>
              <w:t>ISC</w:t>
            </w:r>
          </w:p>
        </w:tc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1,5 %</w:t>
            </w:r>
          </w:p>
        </w:tc>
        <w:tc>
          <w:tcPr>
            <w:tcW w:type="dxa" w:w="2160"/>
          </w:tcPr>
          <w:p>
            <w:r>
              <w:t>GERING</w:t>
            </w:r>
          </w:p>
        </w:tc>
      </w:tr>
      <w:tr>
        <w:tc>
          <w:tcPr>
            <w:tcW w:type="dxa" w:w="2160"/>
          </w:tcPr>
          <w:p>
            <w:r>
              <w:t>zlib</w:t>
            </w:r>
          </w:p>
        </w:tc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1,1 %</w:t>
            </w:r>
          </w:p>
        </w:tc>
        <w:tc>
          <w:tcPr>
            <w:tcW w:type="dxa" w:w="2160"/>
          </w:tcPr>
          <w:p>
            <w:r>
              <w:t>GERING</w:t>
            </w:r>
          </w:p>
        </w:tc>
      </w:tr>
    </w:tbl>
    <w:p>
      <w:pPr>
        <w:pStyle w:val="Heading3"/>
      </w:pPr>
      <w:r>
        <w:t>4. Kritische Befunde 2023 und Massnahmen</w:t>
      </w:r>
    </w:p>
    <w:p>
      <w:pPr>
        <w:pStyle w:val="ListBullet"/>
      </w:pPr>
      <w:r>
        <w:t>ICP-3, Build 22.4: GPL-3.0-Komponente 'libgnu' im OEM-Build verlinkt. Massnahme: Replacement durch MIT-lizenzierte Alternative, Abschluss Q4/2023. Status: GESCHLOSSEN.</w:t>
      </w:r>
    </w:p>
    <w:p>
      <w:pPr>
        <w:pStyle w:val="ListBullet"/>
      </w:pPr>
      <w:r>
        <w:t>ADAS-V4D: 14 Komponenten mit unklarer Lizenz (»UNKNOWN«). Massnahme: manuelle Pruefung durch Legal abgeschlossen, alle 14 nun korrekt klassifiziert. Status: GESCHLOSSEN.</w:t>
      </w:r>
    </w:p>
    <w:p>
      <w:pPr>
        <w:pStyle w:val="ListBullet"/>
      </w:pPr>
      <w:r>
        <w:t>BMS-12: CVE-2023-21345 in OpenSSL 3.0 identifiziert. Massnahme: Upgrade auf 3.0.12 in Software-Release SW-R-23.4. Status: GESCHLOSSEN.</w:t>
      </w:r>
    </w:p>
    <w:p>
      <w:pPr>
        <w:pStyle w:val="ListBullet"/>
      </w:pPr>
      <w:r>
        <w:t>RSG-Tooling: 7 Entwicklerstationen ohne SBOM-Scan-Hook. Massnahme: Verpflichtende Integration in Pre-Commit-Hook. Status: GESCHLOSSEN.</w:t>
      </w:r>
    </w:p>
    <w:p>
      <w:pPr>
        <w:pStyle w:val="ListBullet"/>
      </w:pPr>
      <w:r>
        <w:t>Source-Code-Escrow BMW (siehe REA_Source_Code_Escrow_BMW_2022): Lizenz-Manifest aktualisiert auf Stand 2023-Q4. Status: OFFEN.</w:t>
      </w:r>
    </w:p>
    <w:p>
      <w:pPr>
        <w:pStyle w:val="Heading3"/>
      </w:pPr>
      <w:r>
        <w:t>5. Ausblick 2024</w:t>
      </w:r>
    </w:p>
    <w:p>
      <w:r>
        <w:t>Fuer 2024 sind folgende Massnahmen geplant: (a) Migration von WhiteSource Mend auf Black Duck (Synopsys), (b) Einfuehrung eines konzernweiten OSS-Policy-Trainings (verpflichtend fuer alle Software-Engineers), (c) Beitritt zur SPDX-Initiative und Veroeffentlichung eigener SBOMs in SPDX-Format gegenueber OEM-Kunden, (d) Vorbereitung auf Cyber Resilience Act (CRA) der EU. Verantwortlich: Lars Wittmann (OSS-Officer, RSG).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