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Source-Code-Escrow-Vereinbarung REA / BMW (ENTWURF)</w:t>
      </w:r>
    </w:p>
    <w:p>
      <w:pPr>
        <w:jc w:val="center"/>
      </w:pPr>
      <w:r>
        <w:t>Hinterlegungsvereinbarung Source-Code ICP-3 und ADAS-V4D, Entwurf 2022</w:t>
      </w:r>
    </w:p>
    <w:p/>
    <w:p>
      <w:pPr>
        <w:pStyle w:val="Heading3"/>
      </w:pPr>
      <w:r>
        <w:t>1. Vertragsparteien und Vertragsgegenstand</w:t>
      </w:r>
    </w:p>
    <w:p>
      <w:r>
        <w:t>Zwischen der Brennhagen Elektronik AG (»REA«, Hinterleger), der BMW AG (»BMW«, Beguenstigter) und der NCC Group GmbH, Lyoner Strasse 15, 60528 Frankfurt am Main (»Hinterlegungsstelle«, Escrow-Agent) wird die vorliegende Source-Code-Escrow-Vereinbarung als Anlage zum Liefer- und Entwicklungsvertrag REA/BMW 2022 geschlossen. Vertragsgegenstand ist die Hinterlegung des Source-Codes der Produkte ICP-3 (Infotainment) und ADAS-V4D (Radar-Fusion) bei der Hinterlegungsstelle zur Sicherstellung der BMW-Geschaeftskontinuitaet im Insolvenzfall der REA.</w:t>
      </w:r>
    </w:p>
    <w:p>
      <w:pPr>
        <w:pStyle w:val="Heading3"/>
      </w:pPr>
      <w:r>
        <w:t>2. Hinterlegungs-Scope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Update-Zyklus</w:t>
            </w:r>
          </w:p>
        </w:tc>
        <w:tc>
          <w:tcPr>
            <w:tcW w:type="dxa" w:w="2160"/>
          </w:tcPr>
          <w:p>
            <w:r>
              <w:t>Volumen</w:t>
            </w:r>
          </w:p>
        </w:tc>
      </w:tr>
      <w:tr>
        <w:tc>
          <w:tcPr>
            <w:tcW w:type="dxa" w:w="2160"/>
          </w:tcPr>
          <w:p>
            <w:r>
              <w:t>ICP-3 Source-Code (C/C++/Java/Kotlin)</w:t>
            </w:r>
          </w:p>
        </w:tc>
        <w:tc>
          <w:tcPr>
            <w:tcW w:type="dxa" w:w="2160"/>
          </w:tcPr>
          <w:p>
            <w:r>
              <w:t>Git-Bundle, AES-256</w:t>
            </w:r>
          </w:p>
        </w:tc>
        <w:tc>
          <w:tcPr>
            <w:tcW w:type="dxa" w:w="2160"/>
          </w:tcPr>
          <w:p>
            <w:r>
              <w:t>vierteljaehrlich</w:t>
            </w:r>
          </w:p>
        </w:tc>
        <w:tc>
          <w:tcPr>
            <w:tcW w:type="dxa" w:w="2160"/>
          </w:tcPr>
          <w:p>
            <w:r>
              <w:t>ca. 12 GB</w:t>
            </w:r>
          </w:p>
        </w:tc>
      </w:tr>
      <w:tr>
        <w:tc>
          <w:tcPr>
            <w:tcW w:type="dxa" w:w="2160"/>
          </w:tcPr>
          <w:p>
            <w:r>
              <w:t>ADAS-V4D Source-Code (C/C++/MATLAB)</w:t>
            </w:r>
          </w:p>
        </w:tc>
        <w:tc>
          <w:tcPr>
            <w:tcW w:type="dxa" w:w="2160"/>
          </w:tcPr>
          <w:p>
            <w:r>
              <w:t>Git-Bundle, AES-256</w:t>
            </w:r>
          </w:p>
        </w:tc>
        <w:tc>
          <w:tcPr>
            <w:tcW w:type="dxa" w:w="2160"/>
          </w:tcPr>
          <w:p>
            <w:r>
              <w:t>vierteljaehrlich</w:t>
            </w:r>
          </w:p>
        </w:tc>
        <w:tc>
          <w:tcPr>
            <w:tcW w:type="dxa" w:w="2160"/>
          </w:tcPr>
          <w:p>
            <w:r>
              <w:t>ca. 8 GB</w:t>
            </w:r>
          </w:p>
        </w:tc>
      </w:tr>
      <w:tr>
        <w:tc>
          <w:tcPr>
            <w:tcW w:type="dxa" w:w="2160"/>
          </w:tcPr>
          <w:p>
            <w:r>
              <w:t>Build-Toolchain Dokumentation</w:t>
            </w:r>
          </w:p>
        </w:tc>
        <w:tc>
          <w:tcPr>
            <w:tcW w:type="dxa" w:w="2160"/>
          </w:tcPr>
          <w:p>
            <w:r>
              <w:t>PDF / DOCX</w:t>
            </w:r>
          </w:p>
        </w:tc>
        <w:tc>
          <w:tcPr>
            <w:tcW w:type="dxa" w:w="2160"/>
          </w:tcPr>
          <w:p>
            <w:r>
              <w:t>halbjaehrlich</w:t>
            </w:r>
          </w:p>
        </w:tc>
        <w:tc>
          <w:tcPr>
            <w:tcW w:type="dxa" w:w="2160"/>
          </w:tcPr>
          <w:p>
            <w:r>
              <w:t>ca. 800 MB</w:t>
            </w:r>
          </w:p>
        </w:tc>
      </w:tr>
      <w:tr>
        <w:tc>
          <w:tcPr>
            <w:tcW w:type="dxa" w:w="2160"/>
          </w:tcPr>
          <w:p>
            <w:r>
              <w:t>Lizenz-Manifest (SBOM SPDX 2.3)</w:t>
            </w:r>
          </w:p>
        </w:tc>
        <w:tc>
          <w:tcPr>
            <w:tcW w:type="dxa" w:w="2160"/>
          </w:tcPr>
          <w:p>
            <w:r>
              <w:t>JSON / SPDX</w:t>
            </w:r>
          </w:p>
        </w:tc>
        <w:tc>
          <w:tcPr>
            <w:tcW w:type="dxa" w:w="2160"/>
          </w:tcPr>
          <w:p>
            <w:r>
              <w:t>vierteljaehrlich</w:t>
            </w:r>
          </w:p>
        </w:tc>
        <w:tc>
          <w:tcPr>
            <w:tcW w:type="dxa" w:w="2160"/>
          </w:tcPr>
          <w:p>
            <w:r>
              <w:t>ca. 50 MB</w:t>
            </w:r>
          </w:p>
        </w:tc>
      </w:tr>
      <w:tr>
        <w:tc>
          <w:tcPr>
            <w:tcW w:type="dxa" w:w="2160"/>
          </w:tcPr>
          <w:p>
            <w:r>
              <w:t>Entwickler-Dokumentation</w:t>
            </w:r>
          </w:p>
        </w:tc>
        <w:tc>
          <w:tcPr>
            <w:tcW w:type="dxa" w:w="2160"/>
          </w:tcPr>
          <w:p>
            <w:r>
              <w:t>Confluence-Export</w:t>
            </w:r>
          </w:p>
        </w:tc>
        <w:tc>
          <w:tcPr>
            <w:tcW w:type="dxa" w:w="2160"/>
          </w:tcPr>
          <w:p>
            <w:r>
              <w:t>vierteljaehrlich</w:t>
            </w:r>
          </w:p>
        </w:tc>
        <w:tc>
          <w:tcPr>
            <w:tcW w:type="dxa" w:w="2160"/>
          </w:tcPr>
          <w:p>
            <w:r>
              <w:t>ca. 2 GB</w:t>
            </w:r>
          </w:p>
        </w:tc>
      </w:tr>
    </w:tbl>
    <w:p>
      <w:pPr>
        <w:pStyle w:val="Heading3"/>
      </w:pPr>
      <w:r>
        <w:t>3. Release-Conditions (Auslieferungsbedingungen)</w:t>
      </w:r>
    </w:p>
    <w:p>
      <w:pPr>
        <w:pStyle w:val="Heading4"/>
      </w:pPr>
      <w:r>
        <w:t>§ 1 Trigger-Events</w:t>
      </w:r>
    </w:p>
    <w:p>
      <w:r>
        <w:rPr>
          <w:b/>
        </w:rPr>
        <w:t xml:space="preserve">(1) </w:t>
      </w:r>
      <w:r>
        <w:t>Die Hinterlegungsstelle gibt den Source-Code an BMW frei, sofern eines der folgenden Ereignisse eintritt:</w:t>
      </w:r>
    </w:p>
    <w:p>
      <w:r>
        <w:rPr>
          <w:b/>
        </w:rPr>
        <w:t xml:space="preserve">(2) </w:t>
      </w:r>
      <w:r>
        <w:t>(a) Insolvenz der REA (Eroeffnung Insolvenzverfahren),</w:t>
      </w:r>
    </w:p>
    <w:p>
      <w:r>
        <w:rPr>
          <w:b/>
        </w:rPr>
        <w:t xml:space="preserve">(3) </w:t>
      </w:r>
      <w:r>
        <w:t>(b) Liquidation der REA ohne Rechtsnachfolger,</w:t>
      </w:r>
    </w:p>
    <w:p>
      <w:r>
        <w:rPr>
          <w:b/>
        </w:rPr>
        <w:t xml:space="preserve">(4) </w:t>
      </w:r>
      <w:r>
        <w:t>(c) wesentliche, dauerhafte Verletzung der Wartungspflicht durch REA (Heilungsfrist 60 Tage).</w:t>
      </w:r>
    </w:p>
    <w:p>
      <w:pPr>
        <w:pStyle w:val="Heading4"/>
      </w:pPr>
      <w:r>
        <w:t>§ 2 Verifikationsverfahren</w:t>
      </w:r>
    </w:p>
    <w:p>
      <w:r>
        <w:rPr>
          <w:b/>
        </w:rPr>
        <w:t xml:space="preserve">(1) </w:t>
      </w:r>
      <w:r>
        <w:t>Die Hinterlegungsstelle verifiziert beim Eingang jeder Lieferung die Integritaet (SHA-256-Hash) und vollstaendige Buildbarkeit gemaess REA-Build-Anleitung.</w:t>
      </w:r>
    </w:p>
    <w:p>
      <w:pPr>
        <w:pStyle w:val="Heading4"/>
      </w:pPr>
      <w:r>
        <w:t>§ 3 Nutzungsrechte im Release-Fall</w:t>
      </w:r>
    </w:p>
    <w:p>
      <w:r>
        <w:rPr>
          <w:b/>
        </w:rPr>
        <w:t xml:space="preserve">(1) </w:t>
      </w:r>
      <w:r>
        <w:t>Im Release-Fall erhaelt BMW eine nicht-exklusive, zeitlich unbeschraenkte Nutzungslizenz am Source-Code zum Zweck der Wartung und Weiterentwicklung der bei BMW im Einsatz befindlichen Steuergeraete (»End-of-Life Support«). Eine kommerzielle Vermarktung an Dritte ist ausgeschlossen.</w:t>
      </w:r>
    </w:p>
    <w:p>
      <w:pPr>
        <w:pStyle w:val="Heading3"/>
      </w:pPr>
      <w:r>
        <w:t>4. 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Betrag p.a.</w:t>
            </w:r>
          </w:p>
        </w:tc>
        <w:tc>
          <w:tcPr>
            <w:tcW w:type="dxa" w:w="2880"/>
          </w:tcPr>
          <w:p>
            <w:r>
              <w:t>Hinweis</w:t>
            </w:r>
          </w:p>
        </w:tc>
      </w:tr>
      <w:tr>
        <w:tc>
          <w:tcPr>
            <w:tcW w:type="dxa" w:w="2880"/>
          </w:tcPr>
          <w:p>
            <w:r>
              <w:t>Hinterlegungs-Grundgebuehr NCC</w:t>
            </w:r>
          </w:p>
        </w:tc>
        <w:tc>
          <w:tcPr>
            <w:tcW w:type="dxa" w:w="2880"/>
          </w:tcPr>
          <w:p>
            <w:r>
              <w:t>12.500 EUR</w:t>
            </w:r>
          </w:p>
        </w:tc>
        <w:tc>
          <w:tcPr>
            <w:tcW w:type="dxa" w:w="2880"/>
          </w:tcPr>
          <w:p>
            <w:r>
              <w:t>Pauschal p.a.</w:t>
            </w:r>
          </w:p>
        </w:tc>
      </w:tr>
      <w:tr>
        <w:tc>
          <w:tcPr>
            <w:tcW w:type="dxa" w:w="2880"/>
          </w:tcPr>
          <w:p>
            <w:r>
              <w:t>Verifikations-Gebuehr je Update</w:t>
            </w:r>
          </w:p>
        </w:tc>
        <w:tc>
          <w:tcPr>
            <w:tcW w:type="dxa" w:w="2880"/>
          </w:tcPr>
          <w:p>
            <w:r>
              <w:t>1.800 EUR</w:t>
            </w:r>
          </w:p>
        </w:tc>
        <w:tc>
          <w:tcPr>
            <w:tcW w:type="dxa" w:w="2880"/>
          </w:tcPr>
          <w:p>
            <w:r>
              <w:t>4x p.a.</w:t>
            </w:r>
          </w:p>
        </w:tc>
      </w:tr>
      <w:tr>
        <w:tc>
          <w:tcPr>
            <w:tcW w:type="dxa" w:w="2880"/>
          </w:tcPr>
          <w:p>
            <w:r>
              <w:t>Audit-Gebuehr (auf Wunsch BMW)</w:t>
            </w:r>
          </w:p>
        </w:tc>
        <w:tc>
          <w:tcPr>
            <w:tcW w:type="dxa" w:w="2880"/>
          </w:tcPr>
          <w:p>
            <w:r>
              <w:t>5.500 EUR</w:t>
            </w:r>
          </w:p>
        </w:tc>
        <w:tc>
          <w:tcPr>
            <w:tcW w:type="dxa" w:w="2880"/>
          </w:tcPr>
          <w:p>
            <w:r>
              <w:t>1x p.a. moeglich</w:t>
            </w:r>
          </w:p>
        </w:tc>
      </w:tr>
      <w:tr>
        <w:tc>
          <w:tcPr>
            <w:tcW w:type="dxa" w:w="2880"/>
          </w:tcPr>
          <w:p>
            <w:r>
              <w:t>Gesamt p.a.</w:t>
            </w:r>
          </w:p>
        </w:tc>
        <w:tc>
          <w:tcPr>
            <w:tcW w:type="dxa" w:w="2880"/>
          </w:tcPr>
          <w:p>
            <w:r>
              <w:t>ca. 25.200 EUR</w:t>
            </w:r>
          </w:p>
        </w:tc>
        <w:tc>
          <w:tcPr>
            <w:tcW w:type="dxa" w:w="2880"/>
          </w:tcPr>
          <w:p>
            <w:r>
              <w:t>Aufteilung 50/50</w:t>
            </w:r>
          </w:p>
        </w:tc>
      </w:tr>
    </w:tbl>
    <w:p>
      <w:pPr>
        <w:pStyle w:val="Heading3"/>
      </w:pPr>
      <w:r>
        <w:t>5. Status und naechste Schritte</w:t>
      </w:r>
    </w:p>
    <w:p>
      <w:r>
        <w:t>Dieser Vertrag liegt derzeit als ENTWURF vor (Stand 11/2022). Folgende Punkte sind noch zu klaeren: (a) Endfassung der Verifikations-Spezifikation (BMW Legal + REA Engineering), (b) Nachweis der NCC-Group-Zertifizierungen (ISO 27001, BSI C5), (c) finaler Hinterlegungs-Zeitplan (Erstlieferung geplant Q1 2023), (d) Abstimmung mit Lieferantenrahmen-Vertrag REA/BMW (Annex 17). Verantwortlich REA-Seite: Dr. Florian Maier (IP-Manager); BMW-Seite: Mike Schoenberg (BMW Legal).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