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(Shanghai) Co. Ltd. 2023</w:t>
      </w:r>
    </w:p>
    <w:p>
      <w:pPr>
        <w:jc w:val="center"/>
      </w:pPr>
      <w:r>
        <w:t>Berichtsjahr 2023 – VR China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(Shanghai) Co. Ltd. fuer das Geschaeftsjahr 2023 bei der zustaendigen Register-/Veroeffentlichungsstelle (VR China):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2023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2023: marktueblich gegenueber Vorjahr</w:t>
      </w:r>
    </w:p>
    <w:p>
      <w:pPr>
        <w:pStyle w:val="ListBullet"/>
      </w:pPr>
      <w:r>
        <w:t>Umsatzerloese 2023: ca. 42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2024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