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(Shanghai) Co. Ltd. 2022</w:t>
      </w:r>
    </w:p>
    <w:p>
      <w:pPr>
        <w:jc w:val="center"/>
      </w:pPr>
      <w:r>
        <w:t>Berichtsjahr 2022 – VR China</w:t>
      </w:r>
    </w:p>
    <w:p/>
    <w:p>
      <w:pPr>
        <w:pStyle w:val="Heading3"/>
      </w:pPr>
      <w:r>
        <w:t>Berichtsgegenstand</w:t>
      </w:r>
    </w:p>
    <w:p>
      <w:r>
        <w:t>Lohnsteuer-Jahresabschluss der Brennhagen (Shanghai) Co. Ltd. (VR China) fuer das Lohnsteuer-Jahr 2022.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2022: 320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2023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