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CZ s.r.o. 2023</w:t>
      </w:r>
    </w:p>
    <w:p>
      <w:pPr>
        <w:jc w:val="center"/>
      </w:pPr>
      <w:r>
        <w:t>Berichtsjahr 2023 – Tschechien</w:t>
      </w:r>
    </w:p>
    <w:p/>
    <w:p>
      <w:pPr>
        <w:pStyle w:val="Heading3"/>
      </w:pPr>
      <w:r>
        <w:t>Berichtsgegenstand</w:t>
      </w:r>
    </w:p>
    <w:p>
      <w:r>
        <w:t>Lohnsteuer-Jahresabschluss der Brennhagen CZ s.r.o. (Tschechien) fuer das Lohnsteuer-Jahr 2023.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2023: 680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2024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