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Verlust eines unverschluesselten USB-Sticks</w:t>
      </w:r>
    </w:p>
    <w:p>
      <w:pPr>
        <w:jc w:val="center"/>
      </w:pPr>
      <w:r>
        <w:t>Aktenzeichen DSGVO-2022-014</w:t>
      </w:r>
    </w:p>
    <w:p/>
    <w:p>
      <w:pPr>
        <w:pStyle w:val="Heading3"/>
      </w:pPr>
      <w:r>
        <w:t>Aktenzeichen und Meldedaten</w:t>
      </w:r>
    </w:p>
    <w:p>
      <w:r>
        <w:t>Aktenzeichen intern: DSGVO-2022-014. Eingangsdatum: 2022;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Produktion REG verlor unverschluesselten USB-Stick (private Nutzung trotz Verbot in IT-Richtlinie). Enthielt eine Kopie einer Arbeitszeit-Excel.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Vorfall meldepflichtig; Meldung an LfDI BW innerhalb 72 Stunden gemaess Art. 33 DSGVO erfolgt; betroffene Mitarbeitende informiert (Art. 34); Sanktion gegen Mitarbeiter (Abmahnung); Roll-out USB-Sticks-Verschluesselungsrichtlinie verschaerft.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(2022-014)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2022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