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(ECO) – ECU-900 005 (2023)</w:t>
      </w:r>
    </w:p>
    <w:p>
      <w:pPr>
        <w:jc w:val="center"/>
      </w:pPr>
      <w:r>
        <w:t>Aenderungsantrag mit Compliance- und Lieferketten-Auswirkungen</w:t>
      </w:r>
    </w:p>
    <w:p/>
    <w:p>
      <w:pPr>
        <w:pStyle w:val="Heading3"/>
      </w:pPr>
      <w:r>
        <w:t>ECO-Daten und Geltungsbereich</w:t>
      </w:r>
    </w:p>
    <w:p>
      <w:r>
        <w:t>ECO-Nummer: ECU-900-005-2023. Antragsteller: Lars Wittmann (Lead Developer RSG Muenchen). Genehmigung: ECO-Board (CTO, Q-Leitung, Einkauf, Produktion REG, RSG). Geltung: alle laufenden ECU-900-Programme (VW MEB+, MQB-Evo; Stellantis CMP).</w:t>
      </w:r>
    </w:p>
    <w:p>
      <w:pPr>
        <w:pStyle w:val="Heading3"/>
      </w:pPr>
      <w:r>
        <w:t>Aenderungsbeschreibung</w:t>
      </w:r>
    </w:p>
    <w:p>
      <w:r>
        <w:t>Wechsel des Mikrocontroller-Lieferanten von Infineon (TC397) auf NXP S32G3 zur Erhoehung der Lieferketten-Resilienz (Second-Source-Strategie) und Verbesserung der Funktional-Safety-Reifegrad (ASIL-D Native Lockstep). Software-Stack-Adaption Embedded Linux + AUTOSAR Adaptive.</w:t>
      </w:r>
    </w:p>
    <w:p>
      <w:pPr>
        <w:pStyle w:val="Heading3"/>
      </w:pPr>
      <w:r>
        <w:t>Compliance-Pruefungen</w:t>
      </w:r>
    </w:p>
    <w:p>
      <w:pPr>
        <w:pStyle w:val="ListBullet"/>
      </w:pPr>
      <w:r>
        <w:t>Funktionale Sicherheit ISO 26262: HAZOP-Re-Analyse erforderlich (Lead RSG Munich)</w:t>
      </w:r>
    </w:p>
    <w:p>
      <w:pPr>
        <w:pStyle w:val="ListBullet"/>
      </w:pPr>
      <w:r>
        <w:t>Cybersecurity ISO 21434: Threat-Re-Assessment erforderlich</w:t>
      </w:r>
    </w:p>
    <w:p>
      <w:pPr>
        <w:pStyle w:val="ListBullet"/>
      </w:pPr>
      <w:r>
        <w:t>ASPICE: System- und Software-Reifegrad re-evaluation Level 2-3</w:t>
      </w:r>
    </w:p>
    <w:p>
      <w:pPr>
        <w:pStyle w:val="ListBullet"/>
      </w:pPr>
      <w:r>
        <w:t>Exportkontrolle: NXP S32G3 Pruefung Dual-Use Annex I (BAFA-Beauftragte Dr. Berger)</w:t>
      </w:r>
    </w:p>
    <w:p>
      <w:pPr>
        <w:pStyle w:val="ListBullet"/>
      </w:pPr>
      <w:r>
        <w:t>PPAP: Re-PPAP-Level-3 erforderlich gegenueber VW/Stellantis</w:t>
      </w:r>
    </w:p>
    <w:p>
      <w:pPr>
        <w:pStyle w:val="ListBullet"/>
      </w:pPr>
      <w:r>
        <w:t>Kosten-Gating: BOM-Delta +1,80 EUR/Stk (Genehmigung CFO)</w:t>
      </w:r>
    </w:p>
    <w:p>
      <w:pPr>
        <w:pStyle w:val="Heading3"/>
      </w:pPr>
      <w:r>
        <w:t>Lieferanten-/Vertrags-Auswirkungen</w:t>
      </w:r>
    </w:p>
    <w:p>
      <w:r>
        <w:t>Neuer NXP-Rahmenvertrag mit Allocation-Garantie 2024-2027 verhandelt (Volumen 12 Mio Stk Lifetime). Bestehender Infineon-Vertrag wird als Backup gepflegt (Last-Time-Buy-Option). Lieferanten-Compliance-Klauseln im neuen NXP-Vertrag entsprechen Konzern-Standard 2023 (Anti-Korruption, LkSG, Sanktionen, AuditRight).</w:t>
      </w:r>
    </w:p>
    <w:p>
      <w:pPr>
        <w:pStyle w:val="Heading3"/>
      </w:pPr>
      <w:r>
        <w:t>Genehmigung</w:t>
      </w:r>
    </w:p>
    <w:p>
      <w:r>
        <w:t>ECO genehmigt am 18. Juli 2023 durch ECO-Board mit den Auflagen: (1) ASIL-D HAZOP-Re-Analyse bis 31.10.; (2) Re-PPAP gegenueber VW bis 15.12.; (3) BAFA-Pre-Check positiv erforderlich. Risiko-Reserven im Programmbudget gebildet.</w:t>
      </w:r>
    </w:p>
    <w:p>
      <w:pPr>
        <w:pStyle w:val="Heading3"/>
      </w:pPr>
      <w:r>
        <w:t>Unterschriften</w:t>
      </w:r>
    </w:p>
    <w:p>
      <w:r>
        <w:t>Ort, Datum: Stuttgart, den 18. Juli 2023</w:t>
      </w:r>
    </w:p>
    <w:p>
      <w:r>
        <w:t>_________________________            _________________________</w:t>
        <w:br/>
        <w:t>Stefan Hoffmann                          Lars Wittmann</w:t>
        <w:br/>
        <w:t>CTO (bis 30.6.2024)                          Lead Developer RSG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