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Gehaltsanpassung – Julia Hartmann (Compliance-Funktion)</w:t>
      </w:r>
    </w:p>
    <w:p>
      <w:pPr>
        <w:jc w:val="center"/>
      </w:pPr>
      <w:r>
        <w:t>Personal-/HR-Akte – vertraulich</w:t>
      </w:r>
    </w:p>
    <w:p/>
    <w:p>
      <w:pPr>
        <w:pStyle w:val="Heading3"/>
      </w:pPr>
      <w:r>
        <w:t>Mitarbeiterin und Position</w:t>
      </w:r>
    </w:p>
    <w:p>
      <w:r>
        <w:t>Mitarbeiterin: Julia Hartmann, geb. 14.3.1989, eingestellt 1.9.2018, Personalnummer 10245. Position: Senior Compliance Analyst, Group Compliance (Bereich Anti-Korruption / Sanktionsscreening). Berichtsweg: an Compliance Officer (extern) Dr. Constanze Behrens mit dotted-line an Group General Counsel.</w:t>
      </w:r>
    </w:p>
    <w:p>
      <w:pPr>
        <w:pStyle w:val="Heading3"/>
      </w:pPr>
      <w:r>
        <w:t>Anlass der Anpassung</w:t>
      </w:r>
    </w:p>
    <w:p>
      <w:r>
        <w:t>Erweiterung der Verantwortlichkeiten um den Bereich Sanktionsscreening (ComplyCube-Lead) und Implementierungssteuerung der ISO 37001-Anti-Bribery-Standards. Marktgehaltsbenchmark Korn Ferry Compliance-Vergleichsstudie 2023 ergab Anpassungsbedarf zur Markt-Median.</w:t>
      </w:r>
    </w:p>
    <w:p>
      <w:pPr>
        <w:pStyle w:val="Heading3"/>
      </w:pPr>
      <w:r>
        <w:t>Vereinbarte Aenderung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Komponente</w:t>
            </w:r>
          </w:p>
        </w:tc>
        <w:tc>
          <w:tcPr>
            <w:tcW w:type="dxa" w:w="2880"/>
          </w:tcPr>
          <w:p>
            <w:r>
              <w:t>Alt (2023)</w:t>
            </w:r>
          </w:p>
        </w:tc>
        <w:tc>
          <w:tcPr>
            <w:tcW w:type="dxa" w:w="2880"/>
          </w:tcPr>
          <w:p>
            <w:r>
              <w:t>Neu (ab 1.10.2023)</w:t>
            </w:r>
          </w:p>
        </w:tc>
      </w:tr>
      <w:tr>
        <w:tc>
          <w:tcPr>
            <w:tcW w:type="dxa" w:w="2880"/>
          </w:tcPr>
          <w:p>
            <w:r>
              <w:t>Jahres-Grundgehalt brutto</w:t>
            </w:r>
          </w:p>
        </w:tc>
        <w:tc>
          <w:tcPr>
            <w:tcW w:type="dxa" w:w="2880"/>
          </w:tcPr>
          <w:p>
            <w:r>
              <w:t>82.500 EUR</w:t>
            </w:r>
          </w:p>
        </w:tc>
        <w:tc>
          <w:tcPr>
            <w:tcW w:type="dxa" w:w="2880"/>
          </w:tcPr>
          <w:p>
            <w:r>
              <w:t>92.000 EUR</w:t>
            </w:r>
          </w:p>
        </w:tc>
      </w:tr>
      <w:tr>
        <w:tc>
          <w:tcPr>
            <w:tcW w:type="dxa" w:w="2880"/>
          </w:tcPr>
          <w:p>
            <w:r>
              <w:t>Variable Verguetung Ziel</w:t>
            </w:r>
          </w:p>
        </w:tc>
        <w:tc>
          <w:tcPr>
            <w:tcW w:type="dxa" w:w="2880"/>
          </w:tcPr>
          <w:p>
            <w:r>
              <w:t>12 % (9.900 EUR)</w:t>
            </w:r>
          </w:p>
        </w:tc>
        <w:tc>
          <w:tcPr>
            <w:tcW w:type="dxa" w:w="2880"/>
          </w:tcPr>
          <w:p>
            <w:r>
              <w:t>15 % (13.800 EUR)</w:t>
            </w:r>
          </w:p>
        </w:tc>
      </w:tr>
      <w:tr>
        <w:tc>
          <w:tcPr>
            <w:tcW w:type="dxa" w:w="2880"/>
          </w:tcPr>
          <w:p>
            <w:r>
              <w:t>Dienstwagen / Mobilitaetspauschale</w:t>
            </w:r>
          </w:p>
        </w:tc>
        <w:tc>
          <w:tcPr>
            <w:tcW w:type="dxa" w:w="2880"/>
          </w:tcPr>
          <w:p>
            <w:r>
              <w:t>550 EUR/Mo</w:t>
            </w:r>
          </w:p>
        </w:tc>
        <w:tc>
          <w:tcPr>
            <w:tcW w:type="dxa" w:w="2880"/>
          </w:tcPr>
          <w:p>
            <w:r>
              <w:t>650 EUR/Mo</w:t>
            </w:r>
          </w:p>
        </w:tc>
      </w:tr>
      <w:tr>
        <w:tc>
          <w:tcPr>
            <w:tcW w:type="dxa" w:w="2880"/>
          </w:tcPr>
          <w:p>
            <w:r>
              <w:t>bAV (Direktversicherung)</w:t>
            </w:r>
          </w:p>
        </w:tc>
        <w:tc>
          <w:tcPr>
            <w:tcW w:type="dxa" w:w="2880"/>
          </w:tcPr>
          <w:p>
            <w:r>
              <w:t>200 EUR/Mo</w:t>
            </w:r>
          </w:p>
        </w:tc>
        <w:tc>
          <w:tcPr>
            <w:tcW w:type="dxa" w:w="2880"/>
          </w:tcPr>
          <w:p>
            <w:r>
              <w:t>300 EUR/Mo</w:t>
            </w:r>
          </w:p>
        </w:tc>
      </w:tr>
      <w:tr>
        <w:tc>
          <w:tcPr>
            <w:tcW w:type="dxa" w:w="2880"/>
          </w:tcPr>
          <w:p>
            <w:r>
              <w:t>Urlaub</w:t>
            </w:r>
          </w:p>
        </w:tc>
        <w:tc>
          <w:tcPr>
            <w:tcW w:type="dxa" w:w="2880"/>
          </w:tcPr>
          <w:p>
            <w:r>
              <w:t>30 Tage</w:t>
            </w:r>
          </w:p>
        </w:tc>
        <w:tc>
          <w:tcPr>
            <w:tcW w:type="dxa" w:w="2880"/>
          </w:tcPr>
          <w:p>
            <w:r>
              <w:t>30 Tage</w:t>
            </w:r>
          </w:p>
        </w:tc>
      </w:tr>
    </w:tbl>
    <w:p>
      <w:pPr>
        <w:pStyle w:val="Heading3"/>
      </w:pPr>
      <w:r>
        <w:t>Vertragsbasis</w:t>
      </w:r>
    </w:p>
    <w:p>
      <w:r>
        <w:t>Aenderung erfolgt als Aenderungsvertrag zum bestehenden Arbeitsvertrag vom 1.9.2018 (in der Fassung des Aenderungsvertrages 2021). Alle uebrigen Vertragsbestimmungen bleiben unveraendert. Insbesondere gelten unveraendert: Verschwiegenheitsklauseln (§ 12), Wettbewerbsverbot waehrend des Arbeitsverhaeltnisses, Erfindungs- und Schutzrechtsklauseln, Datenschutzklauseln gemaess Art. 13 DSGVO.</w:t>
      </w:r>
    </w:p>
    <w:p>
      <w:pPr>
        <w:pStyle w:val="Heading3"/>
      </w:pPr>
      <w:r>
        <w:t>Genehmigung</w:t>
      </w:r>
    </w:p>
    <w:p>
      <w:r>
        <w:t>HR-Buero: Erstellung durch HR Business Partner Group Compliance. Genehmigung durch HR-Director Konzern sowie Compliance Officer Dr. Constanze Behrens. Datenschutz-Hinweis: Diese Akte ist personenbezogen (Art. 4 Nr. 1 DSGVO) und unterliegt § 26 BDSG; Aufbewahrung 10 Jahre nach Ausscheiden.</w:t>
      </w:r>
    </w:p>
    <w:p>
      <w:pPr>
        <w:pStyle w:val="Heading3"/>
      </w:pPr>
      <w:r>
        <w:t>Unterschriften</w:t>
      </w:r>
    </w:p>
    <w:p>
      <w:r>
        <w:t>Ort, Datum: Stuttgart, den 20. September 2023</w:t>
      </w:r>
    </w:p>
    <w:p>
      <w:r>
        <w:t>_________________________            _________________________</w:t>
        <w:br/>
        <w:t>Julia Hartmann                          Group HR Director</w:t>
        <w:br/>
        <w:t>Senior Compliance Analyst                          HR-Director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