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Umweltbericht (lokal) – Brennhagen Hungary Kft. 2021</w:t>
      </w:r>
    </w:p>
    <w:p>
      <w:pPr>
        <w:jc w:val="center"/>
      </w:pPr>
      <w:r>
        <w:t>Berichtsjahr 2021 – Ungarn</w:t>
      </w:r>
    </w:p>
    <w:p/>
    <w:p>
      <w:pPr>
        <w:pStyle w:val="Heading3"/>
      </w:pPr>
      <w:r>
        <w:t>Berichtsgegenstand</w:t>
      </w:r>
    </w:p>
    <w:p>
      <w:r>
        <w:t>Umweltbericht der Brennhagen Hungary Kft. fuer das Berichtsjahr 2021. Erstellt auf Basis der internen ISO-14001-/50001-Managementsysteme sowie der lokalen umweltrechtlichen Berichtspflichten (DE: BImSchG / KrWG / WHG; PL: PRTR; CZ: Zakon o ochrane ovzdusi; HU: koernyezetvedelmi torveny; CN: HJ-Standards). Verantwortlich: Werks-EHS-Beauftragte/r in Abstimmung mit Konzern-CSO Stefan Koehler.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ISO 14001:2015 (Umwelt) und ISO 50001:2018 (Energie) zertifiziert</w:t>
      </w:r>
    </w:p>
    <w:p>
      <w:pPr>
        <w:pStyle w:val="ListBullet"/>
      </w:pPr>
      <w:r>
        <w:t>Scope-1- und Scope-2-Emissionen (CO2e) erfasst und an Konzern-CSRD-Reporting geliefert</w:t>
      </w:r>
    </w:p>
    <w:p>
      <w:pPr>
        <w:pStyle w:val="ListBullet"/>
      </w:pPr>
      <w:r>
        <w:t>Wasserverbrauch / Abwasser / Abfall nach Fraktion getrennt erfasst</w:t>
      </w:r>
    </w:p>
    <w:p>
      <w:pPr>
        <w:pStyle w:val="ListBullet"/>
      </w:pPr>
      <w:r>
        <w:t>Genehmigungen (BImSchG/aequivalent) gueltig; Auflagen eingehalten</w:t>
      </w:r>
    </w:p>
    <w:p>
      <w:pPr>
        <w:pStyle w:val="ListBullet"/>
      </w:pPr>
      <w:r>
        <w:t>Energieeffizienz-Massnahmen (LED, PV-Eigenversorgung, Druckluft-Leckage-Management)</w:t>
      </w:r>
    </w:p>
    <w:p>
      <w:pPr>
        <w:pStyle w:val="ListBullet"/>
      </w:pPr>
      <w:r>
        <w:t>Schulungen Umweltbewusstsein jaehrlich (Coverage 100 %)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Energieverbrauch 2021: ggue. Vorjahr reduziert (Effizienzpipeline)</w:t>
      </w:r>
    </w:p>
    <w:p>
      <w:pPr>
        <w:pStyle w:val="ListBullet"/>
      </w:pPr>
      <w:r>
        <w:t>Scope-1-Emissionen: -3-5 %; Scope-2 (location-based) -5-8 %</w:t>
      </w:r>
    </w:p>
    <w:p>
      <w:pPr>
        <w:pStyle w:val="ListBullet"/>
      </w:pPr>
      <w:r>
        <w:t>Erneuerbare Stromanteile: kontinuierlich ausgebaut (Sustainability-Linked-RCF-Margin)</w:t>
      </w:r>
    </w:p>
    <w:p>
      <w:pPr>
        <w:pStyle w:val="ListBullet"/>
      </w:pPr>
      <w:r>
        <w:t>Abfallquoten: Wiederverwertung &gt; 85 %</w:t>
      </w:r>
    </w:p>
    <w:p>
      <w:pPr>
        <w:pStyle w:val="ListBullet"/>
      </w:pPr>
      <w:r>
        <w:t>Umweltvorfaelle: keine meldepflichtigen Ereignisse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2022</w:t>
      </w:r>
    </w:p>
    <w:p>
      <w:r>
        <w:t>_________________________            _________________________</w:t>
        <w:br/>
        <w:t>Werksleitung RHU                          Stefan Koehler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