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Projekt-Statusbericht ECU-900 / AUTOSAR – Maerz 2023</w:t>
      </w:r>
    </w:p>
    <w:p>
      <w:pPr>
        <w:jc w:val="center"/>
      </w:pPr>
      <w:r>
        <w:t>PRJ-2022-003 – Compliance- und Programm-Status</w:t>
      </w:r>
    </w:p>
    <w:p/>
    <w:p>
      <w:pPr>
        <w:pStyle w:val="Heading3"/>
      </w:pPr>
      <w:r>
        <w:t>Projekt-Stammdaten</w:t>
      </w:r>
    </w:p>
    <w:p>
      <w:r>
        <w:t>Projekt: ECU-900-AUTOSAR-Migration. Projekt-ID: PRJ-2022-003. Projekt-Manager: Lars Wittmann (RSG). Stakeholder: VW (MEB+, MQB-Evo), Stellantis (CMP). Start: 1.4.2022; Plan-SOP Q3 2023. Budget genehmigt: 6,8 Mio. EUR; Ist YTD: 4,1 Mio. EUR.</w:t>
      </w:r>
    </w:p>
    <w:p>
      <w:pPr>
        <w:pStyle w:val="Heading3"/>
      </w:pPr>
      <w:r>
        <w:t>Programm-Fortschritt</w:t>
      </w:r>
    </w:p>
    <w:p>
      <w:r>
        <w:t>Stage-Gate-Status: Gate 3 (System-Verifikation) durchlaufen am 15.2.2023. Gate 4 (Vehicle-Integration) geplant 12.5.2023. AUTOSAR Classic Stack auf 22-11 aktualisiert; AUTOSAR Adaptive Migration begonnen (P4 Domain Controllers). ASPICE Level 2 Assessment fuer Software (SWE.2-SWE.4) durch Kugler-Maag geplant Q2/2023.</w:t>
      </w:r>
    </w:p>
    <w:p>
      <w:pPr>
        <w:pStyle w:val="Heading3"/>
      </w:pPr>
      <w:r>
        <w:t>Compliance-Status</w:t>
      </w:r>
    </w:p>
    <w:p>
      <w:r>
        <w:t>Funktionale Sicherheit ISO 26262: ASIL-D Architektur stabil. Cybersecurity ISO 21434: Threat Assessment v2 abgeschlossen. Verrechnungspreis-Konformitaet RSG-RCZ (Engineering-Support): Cost-plus 8 % im Einklang mit TP-Richtlinie. Lieferanten-Compliance NXP/Infineon: TPDD-Klauseln vollstaendig integriert. Exportkontrolle: Komponenten-Klassifizierung Annex I bestaetigt; BAFA-Pre-Check fuer Lieferungen ausserhalb EU positiv (BAFA-Beauftragte Dr. Berger).</w:t>
      </w:r>
    </w:p>
    <w:p>
      <w:pPr>
        <w:pStyle w:val="Heading3"/>
      </w:pPr>
      <w:r>
        <w:t>Risiken und 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Wahrscheinlichkeit</w:t>
            </w:r>
          </w:p>
        </w:tc>
        <w:tc>
          <w:tcPr>
            <w:tcW w:type="dxa" w:w="2160"/>
          </w:tcPr>
          <w:p>
            <w:r>
              <w:t>Auswirkung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</w:tr>
      <w:tr>
        <w:tc>
          <w:tcPr>
            <w:tcW w:type="dxa" w:w="2160"/>
          </w:tcPr>
          <w:p>
            <w:r>
              <w:t>Halbleiter-Engpaesse Q3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SOP-Verzug 4-8 Wochen</w:t>
            </w:r>
          </w:p>
        </w:tc>
        <w:tc>
          <w:tcPr>
            <w:tcW w:type="dxa" w:w="2160"/>
          </w:tcPr>
          <w:p>
            <w:r>
              <w:t>Second-Source NXP + Allocation</w:t>
            </w:r>
          </w:p>
        </w:tc>
      </w:tr>
      <w:tr>
        <w:tc>
          <w:tcPr>
            <w:tcW w:type="dxa" w:w="2160"/>
          </w:tcPr>
          <w:p>
            <w:r>
              <w:t>ASPICE-Reifegrad-Risiko</w:t>
            </w:r>
          </w:p>
        </w:tc>
        <w:tc>
          <w:tcPr>
            <w:tcW w:type="dxa" w:w="2160"/>
          </w:tcPr>
          <w:p>
            <w:r>
              <w:t>niedrig</w:t>
            </w:r>
          </w:p>
        </w:tc>
        <w:tc>
          <w:tcPr>
            <w:tcW w:type="dxa" w:w="2160"/>
          </w:tcPr>
          <w:p>
            <w:r>
              <w:t>Audit-Findings</w:t>
            </w:r>
          </w:p>
        </w:tc>
        <w:tc>
          <w:tcPr>
            <w:tcW w:type="dxa" w:w="2160"/>
          </w:tcPr>
          <w:p>
            <w:r>
              <w:t>Frueher Self-Assessment + Kugler-Maag</w:t>
            </w:r>
          </w:p>
        </w:tc>
      </w:tr>
      <w:tr>
        <w:tc>
          <w:tcPr>
            <w:tcW w:type="dxa" w:w="2160"/>
          </w:tcPr>
          <w:p>
            <w:r>
              <w:t>Cybersecurity-ISO-21434-Audit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Late Findings</w:t>
            </w:r>
          </w:p>
        </w:tc>
        <w:tc>
          <w:tcPr>
            <w:tcW w:type="dxa" w:w="2160"/>
          </w:tcPr>
          <w:p>
            <w:r>
              <w:t>Pre-Audit MHP Q2/2023</w:t>
            </w:r>
          </w:p>
        </w:tc>
      </w:tr>
      <w:tr>
        <w:tc>
          <w:tcPr>
            <w:tcW w:type="dxa" w:w="2160"/>
          </w:tcPr>
          <w:p>
            <w:r>
              <w:t>Sanktions-Compliance NXP</w:t>
            </w:r>
          </w:p>
        </w:tc>
        <w:tc>
          <w:tcPr>
            <w:tcW w:type="dxa" w:w="2160"/>
          </w:tcPr>
          <w:p>
            <w:r>
              <w:t>niedrig</w:t>
            </w:r>
          </w:p>
        </w:tc>
        <w:tc>
          <w:tcPr>
            <w:tcW w:type="dxa" w:w="2160"/>
          </w:tcPr>
          <w:p>
            <w:r>
              <w:t>Lieferunterbrechung</w:t>
            </w:r>
          </w:p>
        </w:tc>
        <w:tc>
          <w:tcPr>
            <w:tcW w:type="dxa" w:w="2160"/>
          </w:tcPr>
          <w:p>
            <w:r>
              <w:t>Sanktions-Re-Screening quartalsweise</w:t>
            </w:r>
          </w:p>
        </w:tc>
      </w:tr>
    </w:tbl>
    <w:p>
      <w:pPr>
        <w:pStyle w:val="Heading3"/>
      </w:pPr>
      <w:r>
        <w:t>Empfehlung an Vorstand/Lenkungskreis</w:t>
      </w:r>
    </w:p>
    <w:p>
      <w:r>
        <w:t>Programm weiter im Plan. Empfehlung: Genehmigung der zusaetzlichen 280 kEUR fuer externe AUTOSAR-Adaptive-Migrationsunterstuetzung durch Vector Informatik. SOP-Termin Q3 2023 weiterhin halten.</w:t>
      </w:r>
    </w:p>
    <w:p>
      <w:pPr>
        <w:pStyle w:val="Heading3"/>
      </w:pPr>
      <w:r>
        <w:t>Unterschriften</w:t>
      </w:r>
    </w:p>
    <w:p>
      <w:r>
        <w:t>Ort, Datum: Muenchen, den 30. Maerz 2023</w:t>
      </w:r>
    </w:p>
    <w:p>
      <w:r>
        <w:t>_________________________            _________________________</w:t>
        <w:br/>
        <w:t>Lars Wittmann                          Stefan Hoffmann</w:t>
        <w:br/>
        <w:t>Projekt-Manager / Lead Dev RSG                          CTO (Sponsor)</w:t>
        <w:br/>
        <w:t>Brennhagen Software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