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Projekt-Statusbericht DSGVO-Compliance-Remediation – Mai 2024</w:t>
      </w:r>
    </w:p>
    <w:p>
      <w:pPr>
        <w:jc w:val="center"/>
      </w:pPr>
      <w:r>
        <w:t>PRJ-2024-002 – Konzern-Programm zur Schliessung von DSGVO-Findings</w:t>
      </w:r>
    </w:p>
    <w:p/>
    <w:p>
      <w:pPr>
        <w:pStyle w:val="Heading3"/>
      </w:pPr>
      <w:r>
        <w:t>Projekt-Stammdaten</w:t>
      </w:r>
    </w:p>
    <w:p>
      <w:r>
        <w:t>Projekt: DSGVO-Compliance-Remediation 2024. Projekt-ID: PRJ-2024-002. Sponsor: CFO Laura Bauer. Programm-Lead: Datenschutzbeauftragter Dr. Markus Lehmann (extern). Steuerungskreis: CFO, COO, CISO, Compliance Officer Dr. Constanze Behrens. Laufzeit: 1.2.2024 – 31.12.2024. Budget: 1,4 Mio. EUR.</w:t>
      </w:r>
    </w:p>
    <w:p>
      <w:pPr>
        <w:pStyle w:val="Heading3"/>
      </w:pPr>
      <w:r>
        <w:t>Hintergrund und Findings</w:t>
      </w:r>
    </w:p>
    <w:p>
      <w:r>
        <w:t>Im Rahmen des Konzernrevisions-Audits 2023 sowie der LfDI-Stichprobenpruefung Q4/2023 wurden 18 Findings (3 high, 9 medium, 6 low) identifiziert, insbesondere zu: VVT-Aktualitaet, AV-Vertrag-Coverage (Speicher 92 %), Loeschkonzepten in SAP/Workday, Drittlandtransfer-TIA-Coverage und Schulungs-Coverage.</w:t>
      </w:r>
    </w:p>
    <w:p>
      <w:pPr>
        <w:pStyle w:val="Heading3"/>
      </w:pPr>
      <w:r>
        <w:t>Umsetzungsstatus per Mai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Fortschritt</w:t>
            </w:r>
          </w:p>
        </w:tc>
        <w:tc>
          <w:tcPr>
            <w:tcW w:type="dxa" w:w="2160"/>
          </w:tcPr>
          <w:p>
            <w:r>
              <w:t>Risiko</w:t>
            </w:r>
          </w:p>
        </w:tc>
      </w:tr>
      <w:tr>
        <w:tc>
          <w:tcPr>
            <w:tcW w:type="dxa" w:w="2160"/>
          </w:tcPr>
          <w:p>
            <w:r>
              <w:t>VVT-Aktualisierung &amp; Tool-Migration</w:t>
            </w:r>
          </w:p>
        </w:tc>
        <w:tc>
          <w:tcPr>
            <w:tcW w:type="dxa" w:w="2160"/>
          </w:tcPr>
          <w:p>
            <w:r>
              <w:t>in Bearbeitung</w:t>
            </w:r>
          </w:p>
        </w:tc>
        <w:tc>
          <w:tcPr>
            <w:tcW w:type="dxa" w:w="2160"/>
          </w:tcPr>
          <w:p>
            <w:r>
              <w:t>65 %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AV-Vertrag-Backfilling</w:t>
            </w:r>
          </w:p>
        </w:tc>
        <w:tc>
          <w:tcPr>
            <w:tcW w:type="dxa" w:w="2160"/>
          </w:tcPr>
          <w:p>
            <w:r>
              <w:t>in Bearbeitung</w:t>
            </w:r>
          </w:p>
        </w:tc>
        <w:tc>
          <w:tcPr>
            <w:tcW w:type="dxa" w:w="2160"/>
          </w:tcPr>
          <w:p>
            <w:r>
              <w:t>82 %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Loeschkonzept SAP/Workday</w:t>
            </w:r>
          </w:p>
        </w:tc>
        <w:tc>
          <w:tcPr>
            <w:tcW w:type="dxa" w:w="2160"/>
          </w:tcPr>
          <w:p>
            <w:r>
              <w:t>Konzept fertig</w:t>
            </w:r>
          </w:p>
        </w:tc>
        <w:tc>
          <w:tcPr>
            <w:tcW w:type="dxa" w:w="2160"/>
          </w:tcPr>
          <w:p>
            <w:r>
              <w:t>40 %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</w:tr>
      <w:tr>
        <w:tc>
          <w:tcPr>
            <w:tcW w:type="dxa" w:w="2160"/>
          </w:tcPr>
          <w:p>
            <w:r>
              <w:t>Drittlandtransfer-TIA (SCC 2021)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Schulungs-Kampagne DSGVO Refresher</w:t>
            </w:r>
          </w:p>
        </w:tc>
        <w:tc>
          <w:tcPr>
            <w:tcW w:type="dxa" w:w="2160"/>
          </w:tcPr>
          <w:p>
            <w:r>
              <w:t>laufend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Datenpannen-Tool-Roll-out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Compliance- und Recht-Schnittstellen</w:t>
      </w:r>
    </w:p>
    <w:p>
      <w:r>
        <w:t>Hengeler Mueller (Dr. Hans-Juergen Stollberg) rechtliche Begleitung; Lehmann &amp; Partner (DSB) operative Steuerung; KPMG IDW PS 980-Pruefung 2024 (Wirksamkeit) plant Cut-Off Dezember 2024. Aufsichtsbehoerde LfDI Baden-Wuerttemberg ist ueber Programm informiert; Quarterly-Updates erfolgen.</w:t>
      </w:r>
    </w:p>
    <w:p>
      <w:pPr>
        <w:pStyle w:val="Heading3"/>
      </w:pPr>
      <w:r>
        <w:t>Risiken und Eskalation</w:t>
      </w:r>
    </w:p>
    <w:p>
      <w:r>
        <w:t>Hauptrisiko: Loeschkonzept-Umsetzung in legacy SAP HCM (R/3 4.7-Klone) komplex; Workaround via Archivierung in OpenText im Pilot. Eskalation an CFO/COO bei Bedarf vorgesehen. Bussgeld-Risiko ohne Programm: bis 4 % Konzernumsatz / 20 Mio. EUR (Art. 83 DSGVO).</w:t>
      </w:r>
    </w:p>
    <w:p>
      <w:pPr>
        <w:pStyle w:val="Heading3"/>
      </w:pPr>
      <w:r>
        <w:t>Naechste Schritte</w:t>
      </w:r>
    </w:p>
    <w:p>
      <w:r>
        <w:t>Steering Q2: 12. Juni 2024 (LfDI-Update). Programm-Abschluss-Review 18. Dezember 2024. Wirksamkeitspruefung durch KPMG IDW PS 980 ab Januar 2025.</w:t>
      </w:r>
    </w:p>
    <w:p>
      <w:pPr>
        <w:pStyle w:val="Heading3"/>
      </w:pPr>
      <w:r>
        <w:t>Unterschriften</w:t>
      </w:r>
    </w:p>
    <w:p>
      <w:r>
        <w:t>Ort, Datum: Stuttgart, den 20. Mai 2024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Sponsor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