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Kartellrecht 2023 – Brennhagen (Shanghai) Co. Ltd.</w:t>
      </w:r>
    </w:p>
    <w:p>
      <w:pPr>
        <w:jc w:val="center"/>
      </w:pPr>
      <w:r>
        <w:t>Compliance-Risikoanalyse – Berichtsjahr 2023</w:t>
      </w:r>
    </w:p>
    <w:p/>
    <w:p>
      <w:pPr>
        <w:pStyle w:val="Heading3"/>
      </w:pPr>
      <w:r>
        <w:t>Anlass und Scope</w:t>
      </w:r>
    </w:p>
    <w:p>
      <w:r>
        <w:t>Diese Risikoanalyse fuer das Thema Kartellrecht betrifft die Brennhagen (Shanghai) Co. Ltd. (RCN), Shanghai (CN).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Art. 101, 102 AEUV; §§ 1, 19, 20 GWB</w:t>
      </w:r>
    </w:p>
    <w:p>
      <w:pPr>
        <w:pStyle w:val="ListBullet"/>
      </w:pPr>
      <w:r>
        <w:t>EU-VerticalBER 2022/720; EU-Horizontalleitlinien 2023</w:t>
      </w:r>
    </w:p>
    <w:p>
      <w:pPr>
        <w:pStyle w:val="ListBullet"/>
      </w:pPr>
      <w:r>
        <w:t>Konzern-Kartellrecht-Compliance-Handbuch 2023 (Version 4.1)</w:t>
      </w:r>
    </w:p>
    <w:p>
      <w:pPr>
        <w:pStyle w:val="Heading3"/>
      </w:pPr>
      <w:r>
        <w:t>Identifizierte Risiken</w:t>
      </w:r>
    </w:p>
    <w:p>
      <w:pPr>
        <w:pStyle w:val="ListBullet"/>
      </w:pPr>
      <w:r>
        <w:t>Informationsaustausch in Branchenverbaenden (VDA, ZVEI, CLEPA)</w:t>
      </w:r>
    </w:p>
    <w:p>
      <w:pPr>
        <w:pStyle w:val="ListBullet"/>
      </w:pPr>
      <w:r>
        <w:t>Vertikale Preisbindungen Aftermarket-Distribution</w:t>
      </w:r>
    </w:p>
    <w:p>
      <w:pPr>
        <w:pStyle w:val="ListBullet"/>
      </w:pPr>
      <w:r>
        <w:t>Bid-Rigging-Risiken bei OEM-Konsortien (z. B. Mehrfach-Sourcing-Programme)</w:t>
      </w:r>
    </w:p>
    <w:p>
      <w:pPr>
        <w:pStyle w:val="ListBullet"/>
      </w:pPr>
      <w:r>
        <w:t>Marktbeherrschende Stellung bei kundenspezifischen Tier-1-Spezialteilen</w:t>
      </w:r>
    </w:p>
    <w:p>
      <w:pPr>
        <w:pStyle w:val="ListBullet"/>
      </w:pPr>
      <w:r>
        <w:t>Joint Ventures / Forschungs-Kooperationen (z. B. mit Universitaeten/Bosch/Conti)</w:t>
      </w:r>
    </w:p>
    <w:p>
      <w:pPr>
        <w:pStyle w:val="Heading3"/>
      </w:pPr>
      <w:r>
        <w:t>Mitigation und Kontrollen</w:t>
      </w:r>
    </w:p>
    <w:p>
      <w:pPr>
        <w:pStyle w:val="ListBullet"/>
      </w:pPr>
      <w:r>
        <w:t>Antitrust-Briefings vor jeder Verbandssitzung; Dokumentationspflicht</w:t>
      </w:r>
    </w:p>
    <w:p>
      <w:pPr>
        <w:pStyle w:val="ListBullet"/>
      </w:pPr>
      <w:r>
        <w:t>Dawn-Raid-Trainings jaehrlich (Top-50 Manager)</w:t>
      </w:r>
    </w:p>
    <w:p>
      <w:pPr>
        <w:pStyle w:val="ListBullet"/>
      </w:pPr>
      <w:r>
        <w:t>Pre-Approval kartellsensitiver Kooperationen durch Hengeler Mueller</w:t>
      </w:r>
    </w:p>
    <w:p>
      <w:pPr>
        <w:pStyle w:val="ListBullet"/>
      </w:pPr>
      <w:r>
        <w:t>Antitrust-E-Learning Pflicht (Vertrieb/Einkauf/Strategie), Coverage 94 %</w:t>
      </w:r>
    </w:p>
    <w:p>
      <w:pPr>
        <w:pStyle w:val="ListBullet"/>
      </w:pPr>
      <w:r>
        <w:t>Whistleblower-System Speak-Up + externer Ombudsmann Dr. Wolfgang Stahl</w:t>
      </w:r>
    </w:p>
    <w:p>
      <w:pPr>
        <w:pStyle w:val="Heading3"/>
      </w:pPr>
      <w:r>
        <w:t>Gesamtbewertung</w:t>
      </w:r>
    </w:p>
    <w:p>
      <w:r>
        <w:t>Brutto-Risiko: mittel-hoch. Netto-Risiko: niedrig-mittel. Akzeptabel mit kontinuierlichem Monitoring.</w:t>
      </w:r>
    </w:p>
    <w:p>
      <w:pPr>
        <w:pStyle w:val="Heading3"/>
      </w:pPr>
      <w:r>
        <w:t>Befunde und Massnahmen</w:t>
      </w:r>
    </w:p>
    <w:p>
      <w:r>
        <w:t>Im Rahmen der Risikoanalyse 2023 wurden bei RCN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Shanghai, den 15. Dezember 2023</w:t>
      </w:r>
    </w:p>
    <w:p>
      <w:r>
        <w:t>_________________________            _________________________</w:t>
        <w:br/>
        <w:t>Werksleitung RCN                          Dr. Constanze Behrens</w:t>
        <w:br/>
        <w:t>Geschaeftsfuehrung / Werksleitung                          Compliance Officer (extern)</w:t>
        <w:br/>
        <w:t>Brennhagen (Shanghai) Co. Ltd.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