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Anti-Korruptions-Richtlinie der Brennhagen-Gruppe</w:t>
      </w:r>
    </w:p>
    <w:p>
      <w:pPr>
        <w:jc w:val="center"/>
      </w:pPr>
      <w:r>
        <w:t>Konzernrichtlinie – Version 3.0</w:t>
      </w:r>
    </w:p>
    <w:p/>
    <w:p>
      <w:pPr>
        <w:pStyle w:val="Heading3"/>
      </w:pPr>
      <w:r>
        <w:t>Praeambel</w:t>
      </w:r>
    </w:p>
    <w:p>
      <w:r>
        <w:t>Die Brennhagen Elektronik AG (»Gesellschaft«) verpflichtet sich zur Einhaltung saemtlicher gesetzlichen Bestimmungen sowie zu hoechsten ethischen Standards. Diese Richtlinie (Anti-Korruptions-Richtlinie der Brennhagen-Gruppe) konkretisiert die im Code of Conduct verankerten Grundsaetze fuer alle Mitarbeitenden, Fuehrungskraefte sowie Organmitglieder der Brennhagen-Gruppe weltweit.</w:t>
      </w:r>
    </w:p>
    <w:p>
      <w:pPr>
        <w:pStyle w:val="Heading3"/>
      </w:pPr>
      <w:r>
        <w:t>Geltungsbereich</w:t>
      </w:r>
    </w:p>
    <w:p>
      <w:r>
        <w:t>Diese Richtlinie gilt fuer alle Gesellschaften der Brennhagen-Gruppe (REA, RHO, REG, RSG, RPL, RCZ, RHU, RCN) sowie fuer alle Mitarbeitenden, Leiharbeitnehmer, Berater, Vertriebspartner und Geschaeftsfuehrer. Sie ist Bestandteil der Arbeits- und Dienstvertraege.</w:t>
      </w:r>
    </w:p>
    <w:p>
      <w:pPr>
        <w:pStyle w:val="Heading3"/>
      </w:pPr>
      <w:r>
        <w:t>Geschuetzte Rechtsgueter und Grundlagen</w:t>
      </w:r>
    </w:p>
    <w:p>
      <w:pPr>
        <w:pStyle w:val="ListBullet"/>
      </w:pPr>
      <w:r>
        <w:t>UK Bribery Act 2010 (Section 1, 2, 6, 7 – inkl. Haftung der Gesellschaft bei Versaeumnis adaequater Praevention)</w:t>
      </w:r>
    </w:p>
    <w:p>
      <w:pPr>
        <w:pStyle w:val="ListBullet"/>
      </w:pPr>
      <w:r>
        <w:t>US Foreign Corrupt Practices Act (FCPA) – sowohl Anti-Bribery Provisions als auch Books-and-Records</w:t>
      </w:r>
    </w:p>
    <w:p>
      <w:pPr>
        <w:pStyle w:val="ListBullet"/>
      </w:pPr>
      <w:r>
        <w:t>§§ 299, 300, 331-334 StGB (Bestechlichkeit/Bestechung im geschaeftlichen Verkehr; Amtstraegerbestechung)</w:t>
      </w:r>
    </w:p>
    <w:p>
      <w:pPr>
        <w:pStyle w:val="ListBullet"/>
      </w:pPr>
      <w:r>
        <w:t>OECD-Anti-Bribery-Convention; UN Convention against Corruption (UNCAC)</w:t>
      </w:r>
    </w:p>
    <w:p>
      <w:pPr>
        <w:pStyle w:val="ListBullet"/>
      </w:pPr>
      <w:r>
        <w:t>GwG (Geldwaeschegesetz) sowie KYC-Verfahren der Brennhagen-Gruppe</w:t>
      </w:r>
    </w:p>
    <w:p>
      <w:pPr>
        <w:pStyle w:val="ListBullet"/>
      </w:pPr>
      <w:r>
        <w:t>ISO 37001:2016 (Anti-Bribery Management System) – Orientierungsrahmen</w:t>
      </w:r>
    </w:p>
    <w:p>
      <w:pPr>
        <w:pStyle w:val="Heading3"/>
      </w:pPr>
      <w:r>
        <w:t>Verbindliche Regelungen</w:t>
      </w:r>
    </w:p>
    <w:p>
      <w:pPr>
        <w:pStyle w:val="Heading4"/>
      </w:pPr>
      <w:r>
        <w:t>§ 1 Null-Toleranz-Politik</w:t>
      </w:r>
    </w:p>
    <w:p>
      <w:r>
        <w:rPr>
          <w:b/>
        </w:rPr>
        <w:t xml:space="preserve">(1) </w:t>
      </w:r>
      <w:r>
        <w:t>Die Brennhagen-Gruppe duldet keinerlei Form von Korruption, Bestechung oder unzulaessiger Einflussnahme. Dies gilt sowohl im Verhaeltnis zu Amtstraegern (Public Sector) als auch im B2B-Verkehr.</w:t>
      </w:r>
    </w:p>
    <w:p>
      <w:r>
        <w:rPr>
          <w:b/>
        </w:rPr>
        <w:t xml:space="preserve">(2) </w:t>
      </w:r>
      <w:r>
        <w:t>Untersagt sind insbesondere: das Anbieten, Versprechen, Gewaehren, Fordern, Annehmen oder Erbitten unangemessener Vorteile, gleich ob direkt oder mittelbar ueber Dritte (Vertriebsagenten, Berater, Joint-Venture-Partner).</w:t>
      </w:r>
    </w:p>
    <w:p>
      <w:pPr>
        <w:pStyle w:val="Heading4"/>
      </w:pPr>
      <w:r>
        <w:t>§ 2 Geschenke, Bewirtungen, Einladungen</w:t>
      </w:r>
    </w:p>
    <w:p>
      <w:r>
        <w:rPr>
          <w:b/>
        </w:rPr>
        <w:t xml:space="preserve">(1) </w:t>
      </w:r>
      <w:r>
        <w:t>Geschenke an oder von Geschaeftspartnern sind nur zulaessig, wenn sie geringwertig (Wert &lt;= 50 EUR pro Anlass), anlassbezogen, transparent und sozialadaequat sind. Geldgeschenke jeder Hoehe sind verboten.</w:t>
      </w:r>
    </w:p>
    <w:p>
      <w:r>
        <w:rPr>
          <w:b/>
        </w:rPr>
        <w:t xml:space="preserve">(2) </w:t>
      </w:r>
      <w:r>
        <w:t>Geschenke an oder von Amtstraegern (inkl. Mitarbeiter staatlicher Unternehmen, OEM-Mitarbeitende mit Beschaffungs-/Pruefverantwortung im Sinne § 299 StGB) sind grundsaetzlich untersagt; Ausnahmen nur nach schriftlicher Vorab-Freigabe der Compliance-Funktion.</w:t>
      </w:r>
    </w:p>
    <w:p>
      <w:r>
        <w:rPr>
          <w:b/>
        </w:rPr>
        <w:t xml:space="preserve">(3) </w:t>
      </w:r>
      <w:r>
        <w:t>Bewirtungen sind angemessen (Richtwert &lt;= 100 EUR p. P.) und nur im Rahmen legitimer Geschaeftsanbahnung/-pflege zulaessig. Dokumentationspflicht in SAP-CO sowie Eintragung im Geschenke-/Bewirtungsregister (Tool: »Gifts &amp; Hospitality Tracker«).</w:t>
      </w:r>
    </w:p>
    <w:p>
      <w:pPr>
        <w:pStyle w:val="Heading4"/>
      </w:pPr>
      <w:r>
        <w:t>§ 3 Facilitation Payments</w:t>
      </w:r>
    </w:p>
    <w:p>
      <w:r>
        <w:rPr>
          <w:b/>
        </w:rPr>
        <w:t xml:space="preserve">(1) </w:t>
      </w:r>
      <w:r>
        <w:t>Sogenannte »Facilitation Payments« (Beschleunigungszahlungen an Amtstraeger) sind weltweit untersagt – auch dort, wo lokal toleriert. UK Bribery Act und Brennhagen-Standard gehen ueber FCPA-Ausnahme hinaus.</w:t>
      </w:r>
    </w:p>
    <w:p>
      <w:r>
        <w:rPr>
          <w:b/>
        </w:rPr>
        <w:t xml:space="preserve">(2) </w:t>
      </w:r>
      <w:r>
        <w:t>Im Notfall (Erpressungssituation, Gefahr fuer Leib/Leben) ist die Zahlung zulaessig, jedoch binnen 24 Stunden an Compliance Officer und CFO zu melden.</w:t>
      </w:r>
    </w:p>
    <w:p>
      <w:pPr>
        <w:pStyle w:val="Heading4"/>
      </w:pPr>
      <w:r>
        <w:t>§ 4 Spenden, Sponsoring, politische Zuwendungen</w:t>
      </w:r>
    </w:p>
    <w:p>
      <w:r>
        <w:rPr>
          <w:b/>
        </w:rPr>
        <w:t xml:space="preserve">(1) </w:t>
      </w:r>
      <w:r>
        <w:t>Spenden ausschliesslich an gemeinnuetzige Einrichtungen, gegen Zuwendungsbestaetigung, ueber Spenden-Bewilligungsprozess (Vier-Augen-Prinzip; ab 5.000 EUR Vorstandsfreigabe).</w:t>
      </w:r>
    </w:p>
    <w:p>
      <w:r>
        <w:rPr>
          <w:b/>
        </w:rPr>
        <w:t xml:space="preserve">(2) </w:t>
      </w:r>
      <w:r>
        <w:t>Sponsoring nur mit schriftlichem Sponsoring-Vertrag, marktgerechte Gegenleistung; kein Sponsoring von Veranstaltungen mit ueberwiegend politischem Charakter.</w:t>
      </w:r>
    </w:p>
    <w:p>
      <w:r>
        <w:rPr>
          <w:b/>
        </w:rPr>
        <w:t xml:space="preserve">(3) </w:t>
      </w:r>
      <w:r>
        <w:t>Parteispenden und Zuwendungen an Mandatstraeger sind konzernweit untersagt.</w:t>
      </w:r>
    </w:p>
    <w:p>
      <w:pPr>
        <w:pStyle w:val="Heading4"/>
      </w:pPr>
      <w:r>
        <w:t>§ 5 Vertriebsagenten, Berater, Joint Ventures</w:t>
      </w:r>
    </w:p>
    <w:p>
      <w:r>
        <w:rPr>
          <w:b/>
        </w:rPr>
        <w:t xml:space="preserve">(1) </w:t>
      </w:r>
      <w:r>
        <w:t>Engagement von Vertriebsagenten/Beratern ausschliesslich nach erfolgreicher Third-Party-Due-Diligence (TPDD-Verfahren der Compliance-Funktion). Vertraege enthalten verbindlich Anti-Korruptions-Klausel, Audit-Right und Termination-on-Breach.</w:t>
      </w:r>
    </w:p>
    <w:p>
      <w:r>
        <w:rPr>
          <w:b/>
        </w:rPr>
        <w:t xml:space="preserve">(2) </w:t>
      </w:r>
      <w:r>
        <w:t>Provisionen marktgerecht und Erfolgs-/Leistungsnachweis-gebunden; Cash-Zahlungen sowie Zahlungen in Drittstaaten/Drittkonten unzulaessig.</w:t>
      </w:r>
    </w:p>
    <w:p>
      <w:pPr>
        <w:pStyle w:val="Heading3"/>
      </w:pPr>
      <w:r>
        <w:t>Ueberwachung, Schulung und Reporting</w:t>
      </w:r>
    </w:p>
    <w:p>
      <w:r>
        <w:t>Das Compliance Management System (CMS) der Brennhagen-Gruppe wird nach IDW PS 980 ausgestaltet und jaehrlich durch KPMG AG WPG (Lead Partner Dr. Maximilian Brand) auf Angemessenheit, Implementierung und Wirksamkeit geprueft. Pflicht-E-Learnings (»ABC – Anti-Bribery &amp; Corruption«) jaehrlich fuer alle Mitarbeitenden in Vertrieb, Einkauf, Finance, Management; turnusmaessige Risk Assessments; jaehrliche Berichterstattung an den Pruefungsausschuss des Aufsichtsrats (Vorsitz Prof. Dr.-Ing. Voss).</w:t>
      </w:r>
    </w:p>
    <w:p>
      <w:pPr>
        <w:pStyle w:val="Heading3"/>
      </w:pPr>
      <w:r>
        <w:t>Verstoesse, Sanktionen und Hinweisgebersystem</w:t>
      </w:r>
    </w:p>
    <w:p>
      <w:r>
        <w:t>Verstoesse gegen diese Richtlinie werden konsequent verfolgt. Verstoesse koennen arbeits-, zivil- und strafrechtliche Folgen haben, einschliesslich fristloser Kuendigung (§ 626 BGB), Schadensersatz und Strafanzeige. Hinweise koennen jederzeit ueber das konzernweite Hinweisgebersystem »SPEAK-UP@Brennhagen« (betrieben durch EQS Group AG, anonym moeglich) oder ueber den externen Ombudsmann Dr. Wolfgang Stahl (Stahl &amp; Kollegen, Hamburg) gemeldet werden. Schutz vor Repressalien gemaess Hinweisgeberschutzgesetz (HinSchG) ist gewaehrleistet.</w:t>
      </w:r>
    </w:p>
    <w:p>
      <w:pPr>
        <w:pStyle w:val="Heading3"/>
      </w:pPr>
      <w:r>
        <w:t>Inkrafttreten / Versionierung</w:t>
      </w:r>
    </w:p>
    <w:p>
      <w:r>
        <w:t>Diese Richtlinie tritt am 1. Maerz 2023 in Kraft (Version 3.0) und ersetzt alle frueheren Fassungen. Die Pflege obliegt der Compliance-Funktion (Dr. Constanze Behrens, extern, Hengeler Mueller). Die naechste turnusmaessige Ueberpruefung erfolgt spaetestens 24 Monate nach Inkrafttreten.</w:t>
      </w:r>
    </w:p>
    <w:p>
      <w:pPr>
        <w:pStyle w:val="Heading3"/>
      </w:pPr>
      <w:r>
        <w:t>Unterschriften</w:t>
      </w:r>
    </w:p>
    <w:p>
      <w:r>
        <w:t>Ort, Datum: Stuttgart, den 1. Maerz 2023</w:t>
      </w:r>
    </w:p>
    <w:p>
      <w:r>
        <w:t>_________________________            _________________________</w:t>
        <w:br/>
        <w:t>Anna Mueller                          Dr. Constanze Behrens</w:t>
        <w:br/>
        <w:t>Vorstandsvorsitzende (CEO)                          Compliance Officer (extern)</w:t>
        <w:br/>
        <w:t>Brennhagen Elektronik AG                       Hengeler Mueller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