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Compliance-Management-System (CMS) der Brennhagen Elektronik AG</w:t>
      </w:r>
    </w:p>
    <w:p>
      <w:pPr>
        <w:jc w:val="center"/>
      </w:pPr>
      <w:r>
        <w:t>Beschreibung gemaess IDW PS 980 – Stand 1. April 2023</w:t>
      </w:r>
    </w:p>
    <w:p/>
    <w:p>
      <w:pPr>
        <w:pStyle w:val="Heading3"/>
      </w:pPr>
      <w:r>
        <w:t>Praeambel</w:t>
      </w:r>
    </w:p>
    <w:p>
      <w:r>
        <w:t>Die Brennhagen Elektronik AG unterhaelt ein konzernweites Compliance-Management-System (CMS), das nach dem Pruefstandard IDW PS 980 strukturiert ist und alle sieben Grundelemente abdeckt (Compliance-Kultur, -Ziele, -Risiken, -Programm, -Organisation, -Kommunikation, -Ueberwachung/Verbesserung). Das CMS wird jaehrlich durch KPMG AG WPG geprueft (Lead Partner Dr. Maximilian Brand).</w:t>
      </w:r>
    </w:p>
    <w:p>
      <w:pPr>
        <w:pStyle w:val="Heading3"/>
      </w:pPr>
      <w:r>
        <w:t>1. Compliance-Kultur</w:t>
      </w:r>
    </w:p>
    <w:p>
      <w:r>
        <w:t>Tone-from-the-top: Vorstand und Aufsichtsrat verpflichten sich oeffentlich zur Einhaltung von Recht und Ethik. Code of Conduct (Mitarbeitende und Geschaeftspartner) – verfuegbar in Deutsch, Englisch, Polnisch, Tschechisch, Ungarisch, Chinesisch. Jaehrliche CEO-Botschaft sowie verpflichtende Bestaetigung (»Compliance Pledge«) durch Top-200-Fuehrungskraefte.</w:t>
      </w:r>
    </w:p>
    <w:p>
      <w:pPr>
        <w:pStyle w:val="Heading3"/>
      </w:pPr>
      <w:r>
        <w:t>2. Compliance-Ziele</w:t>
      </w:r>
    </w:p>
    <w:p>
      <w:r>
        <w:t>Strategische Ziele: 0 Korruptionsfaelle mit Schaden &gt; 50.000 EUR; 100 % Schulungsabdeckung Top-Risikofunktionen; 0 Sanktionsverstoesse; LkSG-konforme Lieferkette; DSGVO-Reifegrad-Score (extern) &gt;= 4/5; kein Kartellverfahren mit Bussgeld. Operationalisierung im jaehrlichen Compliance-Plan.</w:t>
      </w:r>
    </w:p>
    <w:p>
      <w:pPr>
        <w:pStyle w:val="Heading3"/>
      </w:pPr>
      <w:r>
        <w:t>3. Compliance-Risiken</w:t>
      </w:r>
    </w:p>
    <w:p>
      <w:r>
        <w:t>Risikoinventar jaehrlich aktualisiert (Brutto-Risikomatrix), gegliedert nach: Anti-Korruption, Kartellrecht, Sanktionen/Exportkontrolle, Geldwaesche, DSGVO, LkSG, Insiderrecht, Steuerrecht, Arbeits-/Datenschutzrecht. Risk Owner pro Risiko benannt; jaehrliche Bottom-up-Workshops in den Tochtergesellschaften (REG, RSG, RPL, RCZ, RHU, RCN). Heatmap und Top-10-Risiken werden Pruefungsausschuss berichtet.</w:t>
      </w:r>
    </w:p>
    <w:p>
      <w:pPr>
        <w:pStyle w:val="Heading3"/>
      </w:pPr>
      <w:r>
        <w:t>4. Compliance-Programm</w:t>
      </w:r>
    </w:p>
    <w:p>
      <w:r>
        <w:t>Richtlinien-Hierarchie: Code of Conduct (Vorstand) – Konzernrichtlinien (Anti-Korruption, Kartell, Sanktionen, DSGVO, LkSG, GwG, MAR/Insider) – Verfahrensanweisungen (Werks-/Bereichsebene) – Arbeitsanweisungen. Kontrollen in SAP/GRC mit »Three-Lines-of-Defense«-Modell.</w:t>
      </w:r>
    </w:p>
    <w:p>
      <w:pPr>
        <w:pStyle w:val="Heading3"/>
      </w:pPr>
      <w:r>
        <w:t>5. Compliance-Organisation</w:t>
      </w:r>
    </w:p>
    <w:p>
      <w:pPr>
        <w:pStyle w:val="ListBullet"/>
      </w:pPr>
      <w:r>
        <w:t>Compliance Officer (CO) extern: Dr. Constanze Behrens, Hengeler Mueller – berichtet an CEO und Pruefungsausschuss</w:t>
      </w:r>
    </w:p>
    <w:p>
      <w:pPr>
        <w:pStyle w:val="ListBullet"/>
      </w:pPr>
      <w:r>
        <w:t>Konzernrevision (Internal Audit) CAE: Andreas Buehler – berichtet funktional an Pruefungsausschuss</w:t>
      </w:r>
    </w:p>
    <w:p>
      <w:pPr>
        <w:pStyle w:val="ListBullet"/>
      </w:pPr>
      <w:r>
        <w:t>Geldwaeschebeauftragter: Markus Pflanzer (Group Treasurer, Doppelfunktion)</w:t>
      </w:r>
    </w:p>
    <w:p>
      <w:pPr>
        <w:pStyle w:val="ListBullet"/>
      </w:pPr>
      <w:r>
        <w:t>BAFA-Beauftragte / Aussenwirtschaft: Dr. Heike Berger (Group Tax, Doppelfunktion)</w:t>
      </w:r>
    </w:p>
    <w:p>
      <w:pPr>
        <w:pStyle w:val="ListBullet"/>
      </w:pPr>
      <w:r>
        <w:t>Datenschutzbeauftragter (DSB) extern: Dr. Markus Lehmann (Lehmann &amp; Partner)</w:t>
      </w:r>
    </w:p>
    <w:p>
      <w:pPr>
        <w:pStyle w:val="ListBullet"/>
      </w:pPr>
      <w:r>
        <w:t>LkSG-Beauftragter / CSO: Stefan Koehler</w:t>
      </w:r>
    </w:p>
    <w:p>
      <w:pPr>
        <w:pStyle w:val="ListBullet"/>
      </w:pPr>
      <w:r>
        <w:t>Compliance-Komitee (CEO, CFO, COO, CO, CAE, DSB) – tagt quartalsweise</w:t>
      </w:r>
    </w:p>
    <w:p>
      <w:pPr>
        <w:pStyle w:val="ListBullet"/>
      </w:pPr>
      <w:r>
        <w:t>Werks-Compliance-Beauftragte (REG/RPL/RCZ/RHU/RCN) – dotted-line zu CO</w:t>
      </w:r>
    </w:p>
    <w:p>
      <w:pPr>
        <w:pStyle w:val="Heading3"/>
      </w:pPr>
      <w:r>
        <w:t>6. Compliance-Kommunikation</w:t>
      </w:r>
    </w:p>
    <w:p>
      <w:r>
        <w:t>Intranet »Compliance Hub«, Newsletter Q-monatlich, jaehrliche Pflicht-E-Learnings im LMS Brennhagen Learn (SAP SuccessFactors): »Code of Conduct«, »ABC – Anti-Bribery &amp; Corruption«, »Antitrust Basics«, »Sanktionen &amp; Exportkontrolle«, »DSGVO Basics«, »LkSG fuer Einkauf«, »MAR/Insider« (fuer Insider-Kreis). Speak-Up-System EQS, externer Ombudsmann Dr. Wolfgang Stahl.</w:t>
      </w:r>
    </w:p>
    <w:p>
      <w:pPr>
        <w:pStyle w:val="Heading3"/>
      </w:pPr>
      <w:r>
        <w:t>7. Compliance-Ueberwachung und -Verbesserung</w:t>
      </w:r>
    </w:p>
    <w:p>
      <w:r>
        <w:t>Konzernrevision pruefte 2023 18 Audits (Einkauf, F&amp;E, Finance, HR, IT, Legal, Produktion REG/RPL, Supply Chain, Vertrieb). KPMG-Pruefung IDW PS 980 (»Wirksamkeit«) erstmalig fuer 2024 geplant; bis dahin Konzeptions- und Angemessenheitspruefungen. Kontinuierliche Verbesserung via Lessons-Learned aus Hinweisen, Audits, externen Vorfaellen.</w:t>
      </w:r>
    </w:p>
    <w:p>
      <w:pPr>
        <w:pStyle w:val="Heading3"/>
      </w:pPr>
      <w:r>
        <w:t>Unterschriften</w:t>
      </w:r>
    </w:p>
    <w:p>
      <w:r>
        <w:t>Ort, Datum: Stuttgart, den 1. April 2023</w:t>
      </w:r>
    </w:p>
    <w:p>
      <w:r>
        <w:t>_________________________            _________________________</w:t>
        <w:br/>
        <w:t>Anna Mueller                          Dr. Constanze Behrens</w:t>
        <w:br/>
        <w:t>CEO                          Compliance Officer (extern)</w:t>
        <w:br/>
        <w:t>Brennhagen Elektronik AG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