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Datenschutzhinweise fuer Beschaeftigte gemaess Art. 13 DSGVO</w:t>
      </w:r>
    </w:p>
    <w:p>
      <w:pPr>
        <w:jc w:val="center"/>
      </w:pPr>
      <w:r>
        <w:t>Datenschutz – Version 2.4</w:t>
      </w:r>
    </w:p>
    <w:p/>
    <w:p>
      <w:pPr>
        <w:pStyle w:val="Heading3"/>
      </w:pPr>
      <w:r>
        <w:t>Praeambel</w:t>
      </w:r>
    </w:p>
    <w:p>
      <w:r>
        <w:t>Die Brennhagen Elektronik AG ist als Verantwortlicher i. S. d. Art. 4 Nr. 7 DSGVO verpflichtet, personenbezogene Daten ihrer Beschaeftigten, Bewerber, Geschaeftspartner und Kunden rechtmaessig, transparent und zweckgebunden zu verarbeiten. Diese Richtlinie (Datenschutzhinweise fuer Beschaeftigte gemaess Art. 13 DSGVO) regelt die Information aller Mitarbeitenden der Brennhagen-Gruppe ueber die Verarbeitung ihrer personenbezogenen Daten (HR, Lohnabrechnung, Workday, ADP, Zeiterfassung, IT-Logs) vom Bewerbungsprozess bis nach Beendigung des Arbeitsverhaeltnisses.</w:t>
      </w:r>
    </w:p>
    <w:p>
      <w:pPr>
        <w:pStyle w:val="Heading3"/>
      </w:pPr>
      <w:r>
        <w:t>Rechtsgrundlagen</w:t>
      </w:r>
    </w:p>
    <w:p>
      <w:pPr>
        <w:pStyle w:val="ListBullet"/>
      </w:pPr>
      <w:r>
        <w:t>Datenschutz-Grundverordnung (Verordnung (EU) 2016/679, DSGVO)</w:t>
      </w:r>
    </w:p>
    <w:p>
      <w:pPr>
        <w:pStyle w:val="ListBullet"/>
      </w:pPr>
      <w:r>
        <w:t>Bundesdatenschutzgesetz (BDSG, neugefasst 2017/2019)</w:t>
      </w:r>
    </w:p>
    <w:p>
      <w:pPr>
        <w:pStyle w:val="ListBullet"/>
      </w:pPr>
      <w:r>
        <w:t>Telekommunikation-Digitale-Dienste-Datenschutz-Gesetz (TDDDG 2024)</w:t>
      </w:r>
    </w:p>
    <w:p>
      <w:pPr>
        <w:pStyle w:val="ListBullet"/>
      </w:pPr>
      <w:r>
        <w:t>§ 26 BDSG (Beschaeftigtendatenschutz)</w:t>
      </w:r>
    </w:p>
    <w:p>
      <w:pPr>
        <w:pStyle w:val="ListBullet"/>
      </w:pPr>
      <w:r>
        <w:t>Bundesarbeitsgerichts-Rechtsprechung zu Mitarbeiter-Datenverarbeitung</w:t>
      </w:r>
    </w:p>
    <w:p>
      <w:pPr>
        <w:pStyle w:val="Heading3"/>
      </w:pPr>
      <w:r>
        <w:t>Datenschutzbeauftragter / Verantwortlichkeit</w:t>
      </w:r>
    </w:p>
    <w:p>
      <w:r>
        <w:t>Datenschutzbeauftragter (DSB) gemaess Art. 37 DSGVO i. V. m. § 38 BDSG: Dr. Markus Lehmann (extern, Lehmann &amp; Partner Datenschutzberatung, Stuttgart). Kontakt: datenschutz@brennhagen-elektronik.de. Bestellung schriftlich, Meldung an den Landesbeauftragten fuer Datenschutz Baden-Wuerttemberg erfolgt. Der DSB berichtet direkt an den Vorstand (CEO/CFO) und ist unabhaengig und weisungsfrei.</w:t>
      </w:r>
    </w:p>
    <w:p>
      <w:pPr>
        <w:pStyle w:val="Heading3"/>
      </w:pPr>
      <w:r>
        <w:t>Grundsaetze der Verarbeitung</w:t>
      </w:r>
    </w:p>
    <w:p>
      <w:pPr>
        <w:pStyle w:val="Heading4"/>
      </w:pPr>
      <w:r>
        <w:t>§ 1 Rechtmaessigkeit &amp; Zweckbindung</w:t>
      </w:r>
    </w:p>
    <w:p>
      <w:r>
        <w:rPr>
          <w:b/>
        </w:rPr>
        <w:t xml:space="preserve">(1) </w:t>
      </w:r>
      <w:r>
        <w:t>Verarbeitung nur auf Basis einer der Rechtsgrundlagen des Art. 6 Abs. 1 DSGVO. Bei besonderen Datenkategorien (Art. 9) zusaetzlich Art. 9 Abs. 2 erforderlich.</w:t>
      </w:r>
    </w:p>
    <w:p>
      <w:r>
        <w:rPr>
          <w:b/>
        </w:rPr>
        <w:t xml:space="preserve">(2) </w:t>
      </w:r>
      <w:r>
        <w:t>Verarbeitungstaetigkeiten sind im Verzeichnis nach Art. 30 DSGVO erfasst (»VVT«), Owner: jeweilige Fachabteilung, fachliche Pruefung DSB, technisch IT-Compliance.</w:t>
      </w:r>
    </w:p>
    <w:p>
      <w:pPr>
        <w:pStyle w:val="Heading4"/>
      </w:pPr>
      <w:r>
        <w:t>§ 2 Datenminimierung &amp; Speicherbegrenzung</w:t>
      </w:r>
    </w:p>
    <w:p>
      <w:r>
        <w:rPr>
          <w:b/>
        </w:rPr>
        <w:t xml:space="preserve">(1) </w:t>
      </w:r>
      <w:r>
        <w:t>Erhebung nur erforderlicher Daten; Loeschkonzept nach Loeschklasse (Personalakten 10 Jahre nach Ausscheiden bzw. nach gesetzl. Aufbewahrungsfristen § 257 HGB / § 147 AO).</w:t>
      </w:r>
    </w:p>
    <w:p>
      <w:r>
        <w:rPr>
          <w:b/>
        </w:rPr>
        <w:t xml:space="preserve">(2) </w:t>
      </w:r>
      <w:r>
        <w:t>Pseudonymisierung/Anonymisierung wo moeglich (Art. 25 DSGVO – Privacy-by-Design).</w:t>
      </w:r>
    </w:p>
    <w:p>
      <w:pPr>
        <w:pStyle w:val="Heading4"/>
      </w:pPr>
      <w:r>
        <w:t>§ 3 Auftragsverarbeitung</w:t>
      </w:r>
    </w:p>
    <w:p>
      <w:r>
        <w:rPr>
          <w:b/>
        </w:rPr>
        <w:t xml:space="preserve">(1) </w:t>
      </w:r>
      <w:r>
        <w:t>AV-Vertraege nach Art. 28 DSGVO mit allen Dienstleistern (SAP, Salesforce, Microsoft 365, Workday, ADP, EQS Group, ComplyCube, etc.). Vorlage des Konzern-AV-Templates verbindlich.</w:t>
      </w:r>
    </w:p>
    <w:p>
      <w:r>
        <w:rPr>
          <w:b/>
        </w:rPr>
        <w:t xml:space="preserve">(2) </w:t>
      </w:r>
      <w:r>
        <w:t>Bei Drittlandtransfer (z. B. USA) zusaetzlich SCC 2021 sowie Transfer Impact Assessment (TIA).</w:t>
      </w:r>
    </w:p>
    <w:p>
      <w:pPr>
        <w:pStyle w:val="Heading4"/>
      </w:pPr>
      <w:r>
        <w:t>§ 4 Betroffenenrechte</w:t>
      </w:r>
    </w:p>
    <w:p>
      <w:r>
        <w:rPr>
          <w:b/>
        </w:rPr>
        <w:t xml:space="preserve">(1) </w:t>
      </w:r>
      <w:r>
        <w:t>Anfragen nach Art. 15-22 DSGVO sind innerhalb von 1 Monat zu beantworten; Ticket-System: datenschutz@brennhagen-elektronik.de; Eskalation an DSB.</w:t>
      </w:r>
    </w:p>
    <w:p>
      <w:r>
        <w:rPr>
          <w:b/>
        </w:rPr>
        <w:t xml:space="preserve">(2) </w:t>
      </w:r>
      <w:r>
        <w:t>Auskunfts-, Berichtigungs-, Loesch-, Einschraenkungs-, Datenuebertragungs-, Widerspruchsrecht sowie Recht auf Beschwerde bei Aufsichtsbehoerde.</w:t>
      </w:r>
    </w:p>
    <w:p>
      <w:pPr>
        <w:pStyle w:val="Heading4"/>
      </w:pPr>
      <w:r>
        <w:t>§ 5 Datenpannen / Meldung gemaess Art. 33/34 DSGVO</w:t>
      </w:r>
    </w:p>
    <w:p>
      <w:r>
        <w:rPr>
          <w:b/>
        </w:rPr>
        <w:t xml:space="preserve">(1) </w:t>
      </w:r>
      <w:r>
        <w:t>Meldepflicht binnen 72 Stunden an LfDI Baden-Wuerttemberg, sofern Risiko fuer Betroffene. Erstmeldung ueber internes DSGVO-Datenpannen-Tool, gefolgt von Untersuchung und Lessons Learned.</w:t>
      </w:r>
    </w:p>
    <w:p>
      <w:r>
        <w:rPr>
          <w:b/>
        </w:rPr>
        <w:t xml:space="preserve">(2) </w:t>
      </w:r>
      <w:r>
        <w:t>Bei hohem Risiko zusaetzlich Information der Betroffenen gemaess Art. 34 DSGVO.</w:t>
      </w:r>
    </w:p>
    <w:p>
      <w:pPr>
        <w:pStyle w:val="Heading3"/>
      </w:pPr>
      <w:r>
        <w:t>Schulungen &amp; Kontrolle</w:t>
      </w:r>
    </w:p>
    <w:p>
      <w:r>
        <w:t>Verpflichtende Pflicht-E-Learnings »DSGVO Basics« jaehrlich (alle Mitarbeiter); »Advanced Privacy« fuer HR, IT, Marketing, Vertrieb. Audit-Programm der Konzernrevision (CAE Andreas Buehler). Externe Audits gemaess IDW PS 980 / ISO 27701-Orientierung.</w:t>
      </w:r>
    </w:p>
    <w:p>
      <w:pPr>
        <w:pStyle w:val="Heading3"/>
      </w:pPr>
      <w:r>
        <w:t>Inkrafttreten</w:t>
      </w:r>
    </w:p>
    <w:p>
      <w:r>
        <w:t>Diese Richtlinie tritt am 1. Juli 2023 in Kraft, Version 2.4. Naechste Ueberpruefung 2025.</w:t>
      </w:r>
    </w:p>
    <w:p>
      <w:pPr>
        <w:pStyle w:val="Heading3"/>
      </w:pPr>
      <w:r>
        <w:t>Unterschriften</w:t>
      </w:r>
    </w:p>
    <w:p>
      <w:r>
        <w:t>Ort, Datum: Stuttgart, den 1. Juli 2023</w:t>
      </w:r>
    </w:p>
    <w:p>
      <w:r>
        <w:t>_________________________            _________________________</w:t>
        <w:br/>
        <w:t>Laura Bauer                          Dr. Markus Lehmann</w:t>
        <w:br/>
        <w:t>CFO / Verantwortlicher im Datenschutz                          Datenschutzbeauftragter (extern)</w:t>
        <w:br/>
        <w:t>Brennhagen Elektronik AG                       Lehmann &amp;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