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Einkauf 2022</w:t>
      </w:r>
    </w:p>
    <w:p>
      <w:pPr>
        <w:jc w:val="center"/>
      </w:pPr>
      <w:r>
        <w:t>Interne Revision gemaess IIA-Standards – Pruefungsjahr 2022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2022 eine Revision des Bereichs »Einkauf«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des konzernweiten Beschaffungsprozesses (Source-to-Pay) am Beispiel ausgewaehlter Lieferanten / Warengruppen (Elektronikkomponenten, MRO, IT-Services). Stichprobe: 65 Bestellvorgaenge &gt;= 50 kEUR im Berichtsjahr.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Lieferantenfreigabe und -qualifizierung (KYC, Compliance-Klauseln)</w:t>
      </w:r>
    </w:p>
    <w:p>
      <w:pPr>
        <w:pStyle w:val="ListBullet"/>
      </w:pPr>
      <w:r>
        <w:t>Vier-Augen-Prinzip bei Bestellungen / SAP-Berechtigungen</w:t>
      </w:r>
    </w:p>
    <w:p>
      <w:pPr>
        <w:pStyle w:val="ListBullet"/>
      </w:pPr>
      <w:r>
        <w:t>Vergabe-/Ausschreibungsprozess &gt;= 250 kEUR (Three-Quote-Rule)</w:t>
      </w:r>
    </w:p>
    <w:p>
      <w:pPr>
        <w:pStyle w:val="ListBullet"/>
      </w:pPr>
      <w:r>
        <w:t>Wareneingang vs. Rechnungspruefung (3-Way-Match SAP MM/FI)</w:t>
      </w:r>
    </w:p>
    <w:p>
      <w:pPr>
        <w:pStyle w:val="ListBullet"/>
      </w:pPr>
      <w:r>
        <w:t>Vertragsmanagement und Compliance-Klausel-Coverage Rahmenvertraege</w:t>
      </w:r>
    </w:p>
    <w:p>
      <w:pPr>
        <w:pStyle w:val="Heading3"/>
      </w:pPr>
      <w:r>
        <w:t>Wesentliche Feststellungen</w:t>
      </w:r>
    </w:p>
    <w:p>
      <w:r>
        <w:t>Drei moderate Findings: (1) bei 4 von 65 Bestellungen unvollstaendige Three-Quote-Dokumentation; (2) bei 2 Faellen fehlte aktualisierte Lieferanten-CoC-Bestaetigung; (3) Compliance-Klausel in 8 von 30 Rahmenvertraegen veraltet (Stand 2019, nicht LkSG-konform). Keine Hinweise auf doloses Verhalten oder wesentliche Verluste. Empfohlene Korrektur-Prioritaet: hoch (Klausel-Update).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Three-Quote-Rule</w:t>
      </w:r>
    </w:p>
    <w:p>
      <w:r>
        <w:rPr>
          <w:b/>
        </w:rPr>
        <w:t xml:space="preserve">(1) </w:t>
      </w:r>
      <w:r>
        <w:t>Verschaerfung der Dokumentationspflicht im SAP-SRM (Pflichtfelder); rollierender Check durch Procurement Compliance; Stichproben durch Konzernrevision halbjaehrlich.</w:t>
      </w:r>
    </w:p>
    <w:p>
      <w:pPr>
        <w:pStyle w:val="Heading4"/>
      </w:pPr>
      <w:r>
        <w:t>§ 2 Lieferanten-CoC</w:t>
      </w:r>
    </w:p>
    <w:p>
      <w:r>
        <w:rPr>
          <w:b/>
        </w:rPr>
        <w:t xml:space="preserve">(1) </w:t>
      </w:r>
      <w:r>
        <w:t>Roll-out der ueberarbeiteten CoC-Version 2023 ueber DocuSign; Tracking der Akzeptanzquote (Ziel 100 % Top-200 Lieferanten).</w:t>
      </w:r>
    </w:p>
    <w:p>
      <w:pPr>
        <w:pStyle w:val="Heading4"/>
      </w:pPr>
      <w:r>
        <w:t>§ 3 Rahmenvertraege</w:t>
      </w:r>
    </w:p>
    <w:p>
      <w:r>
        <w:rPr>
          <w:b/>
        </w:rPr>
        <w:t xml:space="preserve">(1) </w:t>
      </w:r>
      <w:r>
        <w:t>Sammelaktion zur Aktualisierung der Compliance-/LkSG-Klauseln in allen Rahmenvertraegen (Eigentumsvorbehalt, Anti-Korruption, Audit-Right, LkSG-Klausel, Sanktionen). Deadline 30.6.2024.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Einkauf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2022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